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BDD" w:rsidRPr="00B41116" w:rsidRDefault="00B61BDD" w:rsidP="00B61BDD">
      <w:pPr>
        <w:widowControl/>
        <w:jc w:val="center"/>
      </w:pPr>
    </w:p>
    <w:p w:rsidR="00B61BDD" w:rsidRPr="00B41116" w:rsidRDefault="00B61BDD" w:rsidP="00B61BDD">
      <w:pPr>
        <w:widowControl/>
        <w:jc w:val="center"/>
      </w:pPr>
      <w:r w:rsidRPr="00B41116">
        <w:t>BEFORE THE</w:t>
      </w:r>
    </w:p>
    <w:p w:rsidR="00B61BDD" w:rsidRPr="00B41116" w:rsidRDefault="00B61BDD" w:rsidP="00B61BDD">
      <w:pPr>
        <w:widowControl/>
        <w:jc w:val="center"/>
      </w:pPr>
      <w:r w:rsidRPr="00B41116">
        <w:t>GEORGIA PUBLIC SERVICE COMMISSION</w:t>
      </w:r>
    </w:p>
    <w:p w:rsidR="00B61BDD" w:rsidRPr="00B41116" w:rsidRDefault="00B61BDD" w:rsidP="00B61BDD">
      <w:pPr>
        <w:widowControl/>
        <w:jc w:val="center"/>
      </w:pPr>
    </w:p>
    <w:p w:rsidR="00B61BDD" w:rsidRPr="00B41116" w:rsidRDefault="00B61BDD" w:rsidP="00B61BDD">
      <w:pPr>
        <w:widowControl/>
        <w:jc w:val="center"/>
      </w:pPr>
    </w:p>
    <w:p w:rsidR="00B61BDD" w:rsidRPr="00B41116" w:rsidRDefault="00B61BDD" w:rsidP="00B61BDD">
      <w:pPr>
        <w:widowControl/>
        <w:jc w:val="center"/>
        <w:rPr>
          <w:b/>
        </w:rPr>
      </w:pPr>
    </w:p>
    <w:p w:rsidR="00B61BDD" w:rsidRPr="00B41116" w:rsidRDefault="00B61BDD" w:rsidP="00B61BDD">
      <w:pPr>
        <w:widowControl/>
      </w:pPr>
      <w:r w:rsidRPr="00B41116">
        <w:t>Georgia Power Company’s Fuel Cost</w:t>
      </w:r>
      <w:r w:rsidRPr="00B41116">
        <w:tab/>
      </w:r>
      <w:r w:rsidRPr="00B41116">
        <w:tab/>
        <w:t>)</w:t>
      </w:r>
    </w:p>
    <w:p w:rsidR="00B61BDD" w:rsidRPr="00B41116" w:rsidRDefault="00B61BDD" w:rsidP="00B61BDD">
      <w:pPr>
        <w:widowControl/>
      </w:pPr>
      <w:r>
        <w:t xml:space="preserve">Recovery </w:t>
      </w:r>
      <w:r w:rsidRPr="00B41116">
        <w:t>Application (FCR-2</w:t>
      </w:r>
      <w:r w:rsidR="00A34CBF">
        <w:t>4</w:t>
      </w:r>
      <w:r w:rsidRPr="00B41116">
        <w:t>)</w:t>
      </w:r>
      <w:r w:rsidRPr="00B41116">
        <w:tab/>
      </w:r>
      <w:r>
        <w:tab/>
      </w:r>
      <w:r w:rsidRPr="00B41116">
        <w:t>)</w:t>
      </w:r>
      <w:r w:rsidRPr="00B41116">
        <w:tab/>
      </w:r>
      <w:r w:rsidRPr="00B41116">
        <w:tab/>
        <w:t xml:space="preserve">Docket No. </w:t>
      </w:r>
      <w:r>
        <w:t>3</w:t>
      </w:r>
      <w:r w:rsidR="00A34CBF">
        <w:t>9638</w:t>
      </w:r>
    </w:p>
    <w:p w:rsidR="00B61BDD" w:rsidRPr="00B41116" w:rsidRDefault="00B61BDD" w:rsidP="00B61BDD">
      <w:pPr>
        <w:widowControl/>
      </w:pPr>
    </w:p>
    <w:p w:rsidR="00B61BDD" w:rsidRPr="00B41116" w:rsidRDefault="00B61BDD" w:rsidP="00B61BDD">
      <w:pPr>
        <w:widowControl/>
      </w:pPr>
    </w:p>
    <w:p w:rsidR="00B61BDD" w:rsidRPr="00B41116" w:rsidRDefault="00B61BDD" w:rsidP="00B61BDD">
      <w:pPr>
        <w:widowControl/>
      </w:pPr>
    </w:p>
    <w:p w:rsidR="00B61BDD" w:rsidRDefault="00B61BDD" w:rsidP="00B61BDD">
      <w:pPr>
        <w:widowControl/>
        <w:jc w:val="center"/>
        <w:rPr>
          <w:b/>
        </w:rPr>
      </w:pPr>
    </w:p>
    <w:p w:rsidR="00B61BDD" w:rsidRPr="00192D58" w:rsidRDefault="00B61BDD" w:rsidP="00B61BDD">
      <w:pPr>
        <w:widowControl/>
        <w:jc w:val="center"/>
        <w:rPr>
          <w:b/>
          <w:u w:val="single"/>
        </w:rPr>
      </w:pPr>
      <w:r w:rsidRPr="00192D58">
        <w:rPr>
          <w:b/>
          <w:u w:val="single"/>
        </w:rPr>
        <w:t xml:space="preserve">GEORGIA PUBLIC SERVICE COMMISSION PUBLIC INTEREST ADVOCACY STAFF BRIEF </w:t>
      </w:r>
    </w:p>
    <w:p w:rsidR="00B61BDD" w:rsidRDefault="00B61BDD" w:rsidP="00B61BDD">
      <w:pPr>
        <w:widowControl/>
        <w:tabs>
          <w:tab w:val="left" w:pos="-720"/>
          <w:tab w:val="left" w:pos="0"/>
        </w:tabs>
        <w:suppressAutoHyphens/>
        <w:ind w:left="1440" w:hanging="720"/>
        <w:jc w:val="center"/>
        <w:rPr>
          <w:b/>
          <w:spacing w:val="-3"/>
          <w:u w:val="single"/>
        </w:rPr>
      </w:pPr>
    </w:p>
    <w:p w:rsidR="00B61BDD" w:rsidRDefault="00B61BDD" w:rsidP="00B61BDD">
      <w:pPr>
        <w:widowControl/>
        <w:tabs>
          <w:tab w:val="left" w:pos="-720"/>
          <w:tab w:val="left" w:pos="0"/>
        </w:tabs>
        <w:suppressAutoHyphens/>
        <w:ind w:left="1440" w:hanging="720"/>
        <w:jc w:val="center"/>
        <w:rPr>
          <w:b/>
          <w:spacing w:val="-3"/>
          <w:u w:val="single"/>
        </w:rPr>
      </w:pPr>
    </w:p>
    <w:p w:rsidR="00B61BDD" w:rsidRPr="00FA3E18" w:rsidRDefault="00B61BDD" w:rsidP="00B61BDD">
      <w:pPr>
        <w:widowControl/>
        <w:tabs>
          <w:tab w:val="left" w:pos="-720"/>
          <w:tab w:val="left" w:pos="0"/>
        </w:tabs>
        <w:suppressAutoHyphens/>
        <w:ind w:left="1440" w:hanging="720"/>
        <w:jc w:val="center"/>
        <w:rPr>
          <w:b/>
          <w:spacing w:val="-3"/>
          <w:u w:val="single"/>
        </w:rPr>
      </w:pPr>
    </w:p>
    <w:p w:rsidR="00B61BDD" w:rsidRPr="00FA3E18" w:rsidRDefault="00B61BDD" w:rsidP="00B61BDD">
      <w:pPr>
        <w:pStyle w:val="OutlineL1"/>
        <w:jc w:val="center"/>
        <w:rPr>
          <w:rFonts w:cs="Times New Roman"/>
          <w:b/>
          <w:u w:val="single"/>
        </w:rPr>
      </w:pPr>
      <w:r w:rsidRPr="00FA3E18">
        <w:rPr>
          <w:rFonts w:cs="Times New Roman"/>
          <w:b/>
          <w:u w:val="single"/>
        </w:rPr>
        <w:t>INTRODUCTION</w:t>
      </w:r>
    </w:p>
    <w:p w:rsidR="00B61BDD" w:rsidRPr="00B41116" w:rsidRDefault="00B61BDD" w:rsidP="00B61BDD">
      <w:pPr>
        <w:widowControl/>
        <w:tabs>
          <w:tab w:val="left" w:pos="-720"/>
          <w:tab w:val="left" w:pos="0"/>
        </w:tabs>
        <w:suppressAutoHyphens/>
        <w:ind w:left="720" w:hanging="720"/>
        <w:jc w:val="both"/>
        <w:rPr>
          <w:spacing w:val="-3"/>
        </w:rPr>
      </w:pPr>
    </w:p>
    <w:p w:rsidR="00691D94" w:rsidRDefault="00B61BDD" w:rsidP="00DD17A3">
      <w:pPr>
        <w:widowControl/>
        <w:numPr>
          <w:ilvl w:val="12"/>
          <w:numId w:val="0"/>
        </w:numPr>
        <w:tabs>
          <w:tab w:val="left" w:pos="720"/>
        </w:tabs>
        <w:spacing w:line="480" w:lineRule="auto"/>
        <w:jc w:val="both"/>
        <w:rPr>
          <w:spacing w:val="-3"/>
        </w:rPr>
      </w:pPr>
      <w:r>
        <w:rPr>
          <w:spacing w:val="-3"/>
        </w:rPr>
        <w:tab/>
      </w:r>
      <w:r w:rsidRPr="00B41116">
        <w:rPr>
          <w:spacing w:val="-3"/>
        </w:rPr>
        <w:t xml:space="preserve">This matter is presently pending before the Georgia Public Service Commission </w:t>
      </w:r>
    </w:p>
    <w:p w:rsidR="00B61BDD" w:rsidRPr="00B41116" w:rsidRDefault="00B61BDD" w:rsidP="00DD17A3">
      <w:pPr>
        <w:widowControl/>
        <w:numPr>
          <w:ilvl w:val="12"/>
          <w:numId w:val="0"/>
        </w:numPr>
        <w:tabs>
          <w:tab w:val="left" w:pos="720"/>
        </w:tabs>
        <w:spacing w:line="480" w:lineRule="auto"/>
        <w:jc w:val="both"/>
        <w:rPr>
          <w:spacing w:val="-3"/>
        </w:rPr>
      </w:pPr>
      <w:r w:rsidRPr="00B41116">
        <w:rPr>
          <w:spacing w:val="-3"/>
        </w:rPr>
        <w:t>(“Commission”) on Georgia Power Company</w:t>
      </w:r>
      <w:r w:rsidR="00DD17A3">
        <w:rPr>
          <w:spacing w:val="-3"/>
        </w:rPr>
        <w:t>’s</w:t>
      </w:r>
      <w:r w:rsidRPr="00B41116">
        <w:rPr>
          <w:spacing w:val="-3"/>
        </w:rPr>
        <w:t xml:space="preserve"> </w:t>
      </w:r>
      <w:r w:rsidRPr="00B41116">
        <w:t xml:space="preserve">(“Georgia Power” or “Company”) </w:t>
      </w:r>
      <w:r w:rsidR="00DD17A3">
        <w:rPr>
          <w:spacing w:val="-3"/>
        </w:rPr>
        <w:t xml:space="preserve">Fuel Cost Recovery (“FCR”) </w:t>
      </w:r>
      <w:r w:rsidR="00DD17A3" w:rsidRPr="00B41116">
        <w:rPr>
          <w:spacing w:val="-3"/>
        </w:rPr>
        <w:t>Application</w:t>
      </w:r>
      <w:r w:rsidR="00DD17A3">
        <w:rPr>
          <w:spacing w:val="-3"/>
        </w:rPr>
        <w:t xml:space="preserve">. </w:t>
      </w:r>
      <w:r w:rsidR="00DD17A3" w:rsidRPr="00B41116">
        <w:rPr>
          <w:spacing w:val="-3"/>
        </w:rPr>
        <w:t xml:space="preserve"> </w:t>
      </w:r>
      <w:r w:rsidRPr="00B41116">
        <w:rPr>
          <w:spacing w:val="-3"/>
        </w:rPr>
        <w:t xml:space="preserve">The </w:t>
      </w:r>
      <w:r w:rsidR="000C4B4F">
        <w:rPr>
          <w:spacing w:val="-3"/>
        </w:rPr>
        <w:t>Commission Public Interest Advocacy Staff (“Staff”) hereby</w:t>
      </w:r>
      <w:r w:rsidRPr="00B41116">
        <w:rPr>
          <w:spacing w:val="-3"/>
        </w:rPr>
        <w:t xml:space="preserve"> submits this Brief in support</w:t>
      </w:r>
      <w:r>
        <w:rPr>
          <w:spacing w:val="-3"/>
        </w:rPr>
        <w:t xml:space="preserve"> of</w:t>
      </w:r>
      <w:r w:rsidRPr="00B41116">
        <w:rPr>
          <w:spacing w:val="-3"/>
        </w:rPr>
        <w:t xml:space="preserve"> </w:t>
      </w:r>
      <w:r w:rsidR="000C4B4F">
        <w:rPr>
          <w:spacing w:val="-3"/>
        </w:rPr>
        <w:t>the</w:t>
      </w:r>
      <w:r>
        <w:rPr>
          <w:spacing w:val="-3"/>
        </w:rPr>
        <w:t xml:space="preserve"> stipulation </w:t>
      </w:r>
      <w:r>
        <w:t xml:space="preserve">dated </w:t>
      </w:r>
      <w:r w:rsidR="00DD17A3">
        <w:t>November 24, 2015</w:t>
      </w:r>
      <w:r>
        <w:t xml:space="preserve"> </w:t>
      </w:r>
      <w:r w:rsidR="00DD17A3">
        <w:t>(“</w:t>
      </w:r>
      <w:r>
        <w:t>Stipulation”).</w:t>
      </w:r>
      <w:r w:rsidR="00E55A52">
        <w:t xml:space="preserve"> A copy of the Stipulation is attached hereto as Attachment A.</w:t>
      </w:r>
      <w:r>
        <w:t xml:space="preserve">  </w:t>
      </w:r>
      <w:r w:rsidRPr="00B41116">
        <w:rPr>
          <w:spacing w:val="-3"/>
        </w:rPr>
        <w:t xml:space="preserve">  </w:t>
      </w:r>
    </w:p>
    <w:p w:rsidR="00E808F7" w:rsidRDefault="00B61BDD" w:rsidP="00B61BDD">
      <w:pPr>
        <w:spacing w:after="240" w:line="480" w:lineRule="auto"/>
        <w:ind w:firstLine="720"/>
        <w:jc w:val="both"/>
        <w:rPr>
          <w:rFonts w:eastAsia="SimSun"/>
          <w:lang w:eastAsia="zh-CN"/>
        </w:rPr>
      </w:pPr>
      <w:r w:rsidRPr="00B41116">
        <w:rPr>
          <w:rFonts w:eastAsia="SimSun"/>
          <w:lang w:eastAsia="zh-CN"/>
        </w:rPr>
        <w:t xml:space="preserve">On </w:t>
      </w:r>
      <w:r w:rsidR="00DD17A3">
        <w:rPr>
          <w:rFonts w:eastAsia="SimSun"/>
          <w:lang w:eastAsia="zh-CN"/>
        </w:rPr>
        <w:t>September 18, 2015</w:t>
      </w:r>
      <w:r w:rsidRPr="00B41116">
        <w:rPr>
          <w:rFonts w:eastAsia="SimSun"/>
          <w:lang w:eastAsia="zh-CN"/>
        </w:rPr>
        <w:t xml:space="preserve">, Georgia Power filed </w:t>
      </w:r>
      <w:r w:rsidR="00313129">
        <w:rPr>
          <w:rFonts w:eastAsia="SimSun"/>
          <w:lang w:eastAsia="zh-CN"/>
        </w:rPr>
        <w:t>its</w:t>
      </w:r>
      <w:r w:rsidR="00313129" w:rsidRPr="00B41116">
        <w:rPr>
          <w:rFonts w:eastAsia="SimSun"/>
          <w:lang w:eastAsia="zh-CN"/>
        </w:rPr>
        <w:t xml:space="preserve"> </w:t>
      </w:r>
      <w:r>
        <w:rPr>
          <w:rFonts w:eastAsia="SimSun"/>
          <w:lang w:eastAsia="zh-CN"/>
        </w:rPr>
        <w:t>A</w:t>
      </w:r>
      <w:r w:rsidRPr="00B41116">
        <w:rPr>
          <w:rFonts w:eastAsia="SimSun"/>
          <w:lang w:eastAsia="zh-CN"/>
        </w:rPr>
        <w:t>pplication for FCR-</w:t>
      </w:r>
      <w:r>
        <w:rPr>
          <w:rFonts w:eastAsia="SimSun"/>
          <w:lang w:eastAsia="zh-CN"/>
        </w:rPr>
        <w:t>2</w:t>
      </w:r>
      <w:r w:rsidR="00DD17A3">
        <w:rPr>
          <w:rFonts w:eastAsia="SimSun"/>
          <w:lang w:eastAsia="zh-CN"/>
        </w:rPr>
        <w:t>4</w:t>
      </w:r>
      <w:r w:rsidR="00253DF3">
        <w:rPr>
          <w:rFonts w:eastAsia="SimSun"/>
          <w:lang w:eastAsia="zh-CN"/>
        </w:rPr>
        <w:t>,</w:t>
      </w:r>
      <w:r>
        <w:rPr>
          <w:rFonts w:eastAsia="SimSun"/>
          <w:lang w:eastAsia="zh-CN"/>
        </w:rPr>
        <w:t xml:space="preserve"> </w:t>
      </w:r>
      <w:r w:rsidR="00253DF3">
        <w:rPr>
          <w:rFonts w:eastAsia="SimSun"/>
          <w:lang w:eastAsia="zh-CN"/>
        </w:rPr>
        <w:t xml:space="preserve">along </w:t>
      </w:r>
      <w:r w:rsidR="00E808F7">
        <w:rPr>
          <w:rFonts w:eastAsia="SimSun"/>
          <w:lang w:eastAsia="zh-CN"/>
        </w:rPr>
        <w:t>with</w:t>
      </w:r>
      <w:r>
        <w:rPr>
          <w:rFonts w:eastAsia="SimSun"/>
          <w:lang w:eastAsia="zh-CN"/>
        </w:rPr>
        <w:t xml:space="preserve"> the p</w:t>
      </w:r>
      <w:r w:rsidRPr="00B41116">
        <w:rPr>
          <w:rFonts w:eastAsia="SimSun"/>
          <w:lang w:eastAsia="zh-CN"/>
        </w:rPr>
        <w:t>re-</w:t>
      </w:r>
      <w:r>
        <w:rPr>
          <w:rFonts w:eastAsia="SimSun"/>
          <w:lang w:eastAsia="zh-CN"/>
        </w:rPr>
        <w:t>f</w:t>
      </w:r>
      <w:r w:rsidRPr="00B41116">
        <w:rPr>
          <w:rFonts w:eastAsia="SimSun"/>
          <w:lang w:eastAsia="zh-CN"/>
        </w:rPr>
        <w:t xml:space="preserve">iled Direct Testimony of </w:t>
      </w:r>
      <w:r w:rsidR="00DD17A3">
        <w:rPr>
          <w:rFonts w:eastAsia="SimSun"/>
          <w:lang w:eastAsia="zh-CN"/>
        </w:rPr>
        <w:t>David P. Poroch</w:t>
      </w:r>
      <w:r w:rsidR="00E808F7">
        <w:rPr>
          <w:rFonts w:eastAsia="SimSun"/>
          <w:lang w:eastAsia="zh-CN"/>
        </w:rPr>
        <w:t xml:space="preserve">.  On </w:t>
      </w:r>
      <w:r w:rsidR="00313129">
        <w:rPr>
          <w:rFonts w:eastAsia="SimSun"/>
          <w:lang w:eastAsia="zh-CN"/>
        </w:rPr>
        <w:t>November 4,</w:t>
      </w:r>
      <w:r w:rsidR="00E808F7">
        <w:rPr>
          <w:rFonts w:eastAsia="SimSun"/>
          <w:lang w:eastAsia="zh-CN"/>
        </w:rPr>
        <w:t xml:space="preserve"> </w:t>
      </w:r>
      <w:r w:rsidR="00313129">
        <w:rPr>
          <w:rFonts w:eastAsia="SimSun"/>
          <w:lang w:eastAsia="zh-CN"/>
        </w:rPr>
        <w:t>2015</w:t>
      </w:r>
      <w:r w:rsidR="0031387F">
        <w:rPr>
          <w:rFonts w:eastAsia="SimSun"/>
          <w:lang w:eastAsia="zh-CN"/>
        </w:rPr>
        <w:t>,</w:t>
      </w:r>
      <w:r w:rsidR="00E808F7">
        <w:rPr>
          <w:rFonts w:eastAsia="SimSun"/>
          <w:lang w:eastAsia="zh-CN"/>
        </w:rPr>
        <w:t xml:space="preserve"> Staff filed the </w:t>
      </w:r>
      <w:r w:rsidR="00253DF3">
        <w:rPr>
          <w:rFonts w:eastAsia="SimSun"/>
          <w:lang w:eastAsia="zh-CN"/>
        </w:rPr>
        <w:t xml:space="preserve">testimonies </w:t>
      </w:r>
      <w:r w:rsidR="00E808F7">
        <w:rPr>
          <w:rFonts w:eastAsia="SimSun"/>
          <w:lang w:eastAsia="zh-CN"/>
        </w:rPr>
        <w:t>of Dr. William R. Jacobs, Jr</w:t>
      </w:r>
      <w:r w:rsidR="00DD17A3">
        <w:rPr>
          <w:rFonts w:eastAsia="SimSun"/>
          <w:lang w:eastAsia="zh-CN"/>
        </w:rPr>
        <w:t>.,</w:t>
      </w:r>
      <w:r w:rsidR="00E808F7">
        <w:rPr>
          <w:rFonts w:eastAsia="SimSun"/>
          <w:lang w:eastAsia="zh-CN"/>
        </w:rPr>
        <w:t xml:space="preserve"> Philip Hayet and </w:t>
      </w:r>
      <w:r w:rsidR="00DD17A3">
        <w:rPr>
          <w:rFonts w:eastAsia="SimSun"/>
          <w:lang w:eastAsia="zh-CN"/>
        </w:rPr>
        <w:t>Tom J. Newsome</w:t>
      </w:r>
      <w:r w:rsidR="00E808F7">
        <w:rPr>
          <w:rFonts w:eastAsia="SimSun"/>
          <w:lang w:eastAsia="zh-CN"/>
        </w:rPr>
        <w:t xml:space="preserve">. On that same date, the </w:t>
      </w:r>
      <w:r w:rsidR="00DD17A3">
        <w:rPr>
          <w:rFonts w:eastAsia="SimSun"/>
          <w:lang w:eastAsia="zh-CN"/>
        </w:rPr>
        <w:t>Georgia Industrial Group (“GIG”) and the Georgia Association of Manufacturers (“GAM”)</w:t>
      </w:r>
      <w:r w:rsidR="00E808F7">
        <w:rPr>
          <w:rFonts w:eastAsia="SimSun"/>
          <w:lang w:eastAsia="zh-CN"/>
        </w:rPr>
        <w:t xml:space="preserve"> filed the testimony of </w:t>
      </w:r>
      <w:r w:rsidR="00DD17A3">
        <w:rPr>
          <w:rFonts w:eastAsia="SimSun"/>
          <w:lang w:eastAsia="zh-CN"/>
        </w:rPr>
        <w:t>Jeffry Pollock</w:t>
      </w:r>
      <w:r w:rsidR="00E808F7">
        <w:rPr>
          <w:rFonts w:eastAsia="SimSun"/>
          <w:lang w:eastAsia="zh-CN"/>
        </w:rPr>
        <w:t xml:space="preserve">. </w:t>
      </w:r>
      <w:r w:rsidRPr="00B41116">
        <w:rPr>
          <w:rFonts w:eastAsia="SimSun"/>
          <w:lang w:eastAsia="zh-CN"/>
        </w:rPr>
        <w:t xml:space="preserve">  </w:t>
      </w:r>
    </w:p>
    <w:p w:rsidR="00DD17A3" w:rsidRDefault="00B61BDD" w:rsidP="00C72125">
      <w:pPr>
        <w:spacing w:after="240" w:line="480" w:lineRule="auto"/>
        <w:ind w:firstLine="720"/>
        <w:jc w:val="both"/>
        <w:rPr>
          <w:rFonts w:eastAsia="SimSun"/>
          <w:lang w:eastAsia="zh-CN"/>
        </w:rPr>
      </w:pPr>
      <w:r w:rsidRPr="00B41116">
        <w:rPr>
          <w:rFonts w:eastAsia="SimSun"/>
          <w:lang w:eastAsia="zh-CN"/>
        </w:rPr>
        <w:t xml:space="preserve">On </w:t>
      </w:r>
      <w:r w:rsidR="00DD17A3">
        <w:rPr>
          <w:rFonts w:eastAsia="SimSun"/>
          <w:lang w:eastAsia="zh-CN"/>
        </w:rPr>
        <w:t>November 18, 2015</w:t>
      </w:r>
      <w:r w:rsidRPr="00B41116">
        <w:rPr>
          <w:rFonts w:eastAsia="SimSun"/>
          <w:lang w:eastAsia="zh-CN"/>
        </w:rPr>
        <w:t xml:space="preserve">, Georgia Power filed </w:t>
      </w:r>
      <w:r w:rsidR="00DD17A3">
        <w:rPr>
          <w:rFonts w:eastAsia="SimSun"/>
          <w:lang w:eastAsia="zh-CN"/>
        </w:rPr>
        <w:t xml:space="preserve">the </w:t>
      </w:r>
      <w:r w:rsidRPr="00B41116">
        <w:rPr>
          <w:rFonts w:eastAsia="SimSun"/>
          <w:lang w:eastAsia="zh-CN"/>
        </w:rPr>
        <w:t xml:space="preserve">Rebuttal </w:t>
      </w:r>
      <w:r w:rsidR="00253DF3" w:rsidRPr="00B41116">
        <w:rPr>
          <w:rFonts w:eastAsia="SimSun"/>
          <w:lang w:eastAsia="zh-CN"/>
        </w:rPr>
        <w:t>Testimon</w:t>
      </w:r>
      <w:r w:rsidR="00DD17A3">
        <w:rPr>
          <w:rFonts w:eastAsia="SimSun"/>
          <w:lang w:eastAsia="zh-CN"/>
        </w:rPr>
        <w:t>ies</w:t>
      </w:r>
      <w:r w:rsidR="00253DF3" w:rsidRPr="00B41116">
        <w:rPr>
          <w:rFonts w:eastAsia="SimSun"/>
          <w:lang w:eastAsia="zh-CN"/>
        </w:rPr>
        <w:t xml:space="preserve"> </w:t>
      </w:r>
      <w:r w:rsidRPr="00B41116">
        <w:rPr>
          <w:rFonts w:eastAsia="SimSun"/>
          <w:lang w:eastAsia="zh-CN"/>
        </w:rPr>
        <w:t xml:space="preserve">of </w:t>
      </w:r>
      <w:r w:rsidR="00DD17A3" w:rsidRPr="00B41116">
        <w:rPr>
          <w:rFonts w:eastAsia="SimSun"/>
          <w:lang w:eastAsia="zh-CN"/>
        </w:rPr>
        <w:t>Dennis R. Madison</w:t>
      </w:r>
      <w:r w:rsidR="00DD17A3">
        <w:rPr>
          <w:rFonts w:eastAsia="SimSun"/>
          <w:lang w:eastAsia="zh-CN"/>
        </w:rPr>
        <w:t xml:space="preserve"> and </w:t>
      </w:r>
      <w:r w:rsidRPr="00B41116">
        <w:rPr>
          <w:rFonts w:eastAsia="SimSun"/>
          <w:lang w:eastAsia="zh-CN"/>
        </w:rPr>
        <w:t xml:space="preserve">the panel of </w:t>
      </w:r>
      <w:r w:rsidR="00E808F7">
        <w:rPr>
          <w:rFonts w:eastAsia="SimSun"/>
          <w:lang w:eastAsia="zh-CN"/>
        </w:rPr>
        <w:t xml:space="preserve">Mr. </w:t>
      </w:r>
      <w:r w:rsidR="00DD17A3">
        <w:rPr>
          <w:rFonts w:eastAsia="SimSun"/>
          <w:lang w:eastAsia="zh-CN"/>
        </w:rPr>
        <w:t>Poroch</w:t>
      </w:r>
      <w:r w:rsidR="00E808F7">
        <w:rPr>
          <w:rFonts w:eastAsia="SimSun"/>
          <w:lang w:eastAsia="zh-CN"/>
        </w:rPr>
        <w:t xml:space="preserve"> and </w:t>
      </w:r>
      <w:r w:rsidR="00DD17A3">
        <w:rPr>
          <w:rFonts w:eastAsia="SimSun"/>
          <w:lang w:eastAsia="zh-CN"/>
        </w:rPr>
        <w:t>Jeffrey B. Weathers</w:t>
      </w:r>
      <w:r w:rsidR="00E808F7">
        <w:rPr>
          <w:rFonts w:eastAsia="SimSun"/>
          <w:lang w:eastAsia="zh-CN"/>
        </w:rPr>
        <w:t>.</w:t>
      </w:r>
      <w:r>
        <w:rPr>
          <w:rFonts w:eastAsia="SimSun"/>
          <w:lang w:eastAsia="zh-CN"/>
        </w:rPr>
        <w:t xml:space="preserve">  </w:t>
      </w:r>
    </w:p>
    <w:p w:rsidR="00F65E5E" w:rsidRDefault="00F65E5E" w:rsidP="00C72125">
      <w:pPr>
        <w:spacing w:after="240" w:line="480" w:lineRule="auto"/>
        <w:ind w:firstLine="720"/>
        <w:jc w:val="both"/>
        <w:rPr>
          <w:rFonts w:eastAsia="SimSun"/>
          <w:lang w:eastAsia="zh-CN"/>
        </w:rPr>
      </w:pPr>
      <w:r>
        <w:rPr>
          <w:rFonts w:eastAsia="SimSun"/>
          <w:lang w:eastAsia="zh-CN"/>
        </w:rPr>
        <w:lastRenderedPageBreak/>
        <w:t>On November 24, 2015, the Staff and Georgia Power entered into the Stipulation which was designed to resolve all of the issues in this proceeding, with one exception. Specifically, paragraph 4 of the Stipulation provides that:</w:t>
      </w:r>
    </w:p>
    <w:p w:rsidR="00F65E5E" w:rsidRPr="00625C8F" w:rsidRDefault="00F65E5E" w:rsidP="00F65E5E">
      <w:pPr>
        <w:overflowPunct/>
        <w:autoSpaceDE/>
        <w:autoSpaceDN/>
        <w:adjustRightInd/>
        <w:ind w:left="1440"/>
        <w:jc w:val="both"/>
        <w:textAlignment w:val="auto"/>
        <w:rPr>
          <w:color w:val="000000"/>
          <w:spacing w:val="-3"/>
        </w:rPr>
      </w:pPr>
      <w:r>
        <w:t xml:space="preserve">The Parties agree that the Commission should determine as a matter of policy whether the Company’s hedging program should be modified, eliminated or remain unchanged. Each Party has set forth its respective positions in pre-filed testimony and reserves the right to continue to advocate its position during the remainder of this proceeding. </w:t>
      </w:r>
    </w:p>
    <w:p w:rsidR="00F65E5E" w:rsidRDefault="00F65E5E" w:rsidP="00C72125">
      <w:pPr>
        <w:spacing w:after="240" w:line="480" w:lineRule="auto"/>
        <w:ind w:firstLine="720"/>
        <w:jc w:val="both"/>
        <w:rPr>
          <w:rFonts w:eastAsia="SimSun"/>
          <w:lang w:eastAsia="zh-CN"/>
        </w:rPr>
      </w:pPr>
    </w:p>
    <w:p w:rsidR="00B61BDD" w:rsidRDefault="00B61BDD" w:rsidP="00C72125">
      <w:pPr>
        <w:spacing w:after="240" w:line="480" w:lineRule="auto"/>
        <w:ind w:firstLine="720"/>
        <w:jc w:val="both"/>
        <w:rPr>
          <w:rFonts w:eastAsia="SimSun"/>
          <w:lang w:eastAsia="zh-CN"/>
        </w:rPr>
      </w:pPr>
      <w:r>
        <w:rPr>
          <w:rFonts w:eastAsia="SimSun"/>
          <w:lang w:eastAsia="zh-CN"/>
        </w:rPr>
        <w:t xml:space="preserve">The Commission held its hearing on this case on </w:t>
      </w:r>
      <w:r w:rsidR="00DD17A3">
        <w:rPr>
          <w:rFonts w:eastAsia="SimSun"/>
          <w:lang w:eastAsia="zh-CN"/>
        </w:rPr>
        <w:t>December 1, 2015</w:t>
      </w:r>
      <w:r>
        <w:rPr>
          <w:rFonts w:eastAsia="SimSun"/>
          <w:lang w:eastAsia="zh-CN"/>
        </w:rPr>
        <w:t xml:space="preserve">.  </w:t>
      </w:r>
    </w:p>
    <w:p w:rsidR="00B61BDD" w:rsidRPr="00FA3E18" w:rsidRDefault="00B61BDD" w:rsidP="00B61BDD">
      <w:pPr>
        <w:pStyle w:val="OutlineL1"/>
        <w:jc w:val="center"/>
        <w:rPr>
          <w:rFonts w:cs="Times New Roman"/>
          <w:b/>
          <w:u w:val="single"/>
        </w:rPr>
      </w:pPr>
      <w:r w:rsidRPr="00FA3E18">
        <w:rPr>
          <w:rFonts w:cs="Times New Roman"/>
          <w:b/>
          <w:u w:val="single"/>
        </w:rPr>
        <w:t>SUMMARY</w:t>
      </w:r>
    </w:p>
    <w:p w:rsidR="00B61BDD" w:rsidRDefault="00B61BDD" w:rsidP="00B61BDD">
      <w:pPr>
        <w:spacing w:line="480" w:lineRule="auto"/>
        <w:jc w:val="both"/>
      </w:pPr>
      <w:r w:rsidRPr="009C3E58">
        <w:rPr>
          <w:spacing w:val="-3"/>
        </w:rPr>
        <w:t xml:space="preserve">  </w:t>
      </w:r>
      <w:r w:rsidRPr="009C3E58">
        <w:tab/>
      </w:r>
      <w:r>
        <w:t xml:space="preserve">The Commission should adopt the Stipulation without modification, as it resolves the vast majority of the issues in this </w:t>
      </w:r>
      <w:r w:rsidR="006A21E2">
        <w:t>case, represents a fair compromise</w:t>
      </w:r>
      <w:r>
        <w:t xml:space="preserve"> </w:t>
      </w:r>
      <w:r w:rsidR="006A21E2">
        <w:t>of such issues</w:t>
      </w:r>
      <w:r w:rsidR="0031387F">
        <w:t>,</w:t>
      </w:r>
      <w:r w:rsidR="006A21E2">
        <w:t xml:space="preserve"> and </w:t>
      </w:r>
      <w:r w:rsidR="006C6415">
        <w:t xml:space="preserve">is in </w:t>
      </w:r>
      <w:r w:rsidR="006A21E2">
        <w:t>the public interest.</w:t>
      </w:r>
      <w:r w:rsidR="001B7595">
        <w:t xml:space="preserve"> In addition, as contemplated by paragraph 4 of the Stipulation, the Commission should deny the Company’s request to modify its hedging program, and the Company’s </w:t>
      </w:r>
      <w:r w:rsidR="001B7595">
        <w:rPr>
          <w:bCs/>
        </w:rPr>
        <w:t>current hedging program be left in place in its current form.</w:t>
      </w:r>
    </w:p>
    <w:p w:rsidR="00551385" w:rsidRDefault="0059027C" w:rsidP="00551385">
      <w:pPr>
        <w:overflowPunct/>
        <w:autoSpaceDE/>
        <w:autoSpaceDN/>
        <w:adjustRightInd/>
        <w:spacing w:line="480" w:lineRule="auto"/>
        <w:ind w:firstLine="720"/>
        <w:jc w:val="both"/>
        <w:textAlignment w:val="auto"/>
      </w:pPr>
      <w:r>
        <w:t xml:space="preserve">In its </w:t>
      </w:r>
      <w:r w:rsidR="00B61BDD" w:rsidRPr="009C3E58">
        <w:t>FCR-2</w:t>
      </w:r>
      <w:r w:rsidR="00184588">
        <w:t>4</w:t>
      </w:r>
      <w:r w:rsidR="00B61BDD" w:rsidRPr="009C3E58">
        <w:t xml:space="preserve"> Application</w:t>
      </w:r>
      <w:r w:rsidR="00313129">
        <w:t>,</w:t>
      </w:r>
      <w:r>
        <w:t xml:space="preserve"> the Company is seeking to reduce its fuel rates due </w:t>
      </w:r>
      <w:r w:rsidR="00350722">
        <w:t xml:space="preserve">to </w:t>
      </w:r>
      <w:r w:rsidR="00184588">
        <w:t>a decline in fuel costs, primarily driven by projected decreases in the cost of natural gas and in the demand for electricity from the FCR-23 test period to the</w:t>
      </w:r>
      <w:r w:rsidR="00532E05">
        <w:t xml:space="preserve"> </w:t>
      </w:r>
      <w:r w:rsidR="00184588">
        <w:t>FCR-24 test period</w:t>
      </w:r>
      <w:r w:rsidR="006C6415">
        <w:t xml:space="preserve">.  </w:t>
      </w:r>
      <w:r w:rsidR="00532E05">
        <w:t xml:space="preserve">The Company’s proposed changes would result in a decrease of approximately 11% in the FCR rates, which equals a decrease of approximately 3% or $4.04 per month on the total bill of the typical 1,000 kWh residential customer. The FCR rates will be further reduced as a result of the effect of paragraph 5 of the Stipulation which acts to reduce the fuel balance by </w:t>
      </w:r>
      <w:r w:rsidR="00350722">
        <w:t xml:space="preserve">an additional </w:t>
      </w:r>
      <w:r w:rsidR="00532E05">
        <w:t xml:space="preserve">$6.0 million to be reflected in fuel rates effective January 1, 2016. In addition, the Stipulation at paragraph 2 </w:t>
      </w:r>
      <w:r w:rsidR="00532E05">
        <w:lastRenderedPageBreak/>
        <w:t xml:space="preserve">provides that </w:t>
      </w:r>
      <w:r w:rsidR="00532E05">
        <w:rPr>
          <w:color w:val="000000"/>
          <w:spacing w:val="-3"/>
        </w:rPr>
        <w:t xml:space="preserve">the projected fuel costs for the test period shall be reduced by an additional $156 million.  This will result in a total reduction to customers’ fuel rates of 14%, or approximately $5 on </w:t>
      </w:r>
      <w:r w:rsidR="00313129">
        <w:rPr>
          <w:color w:val="000000"/>
          <w:spacing w:val="-3"/>
        </w:rPr>
        <w:t xml:space="preserve">the </w:t>
      </w:r>
      <w:r w:rsidR="00532E05">
        <w:rPr>
          <w:color w:val="000000"/>
          <w:spacing w:val="-3"/>
        </w:rPr>
        <w:t xml:space="preserve">average residential customer’s monthly </w:t>
      </w:r>
      <w:r w:rsidR="00C379C1">
        <w:rPr>
          <w:color w:val="000000"/>
          <w:spacing w:val="-3"/>
        </w:rPr>
        <w:t>bill</w:t>
      </w:r>
      <w:r w:rsidR="00532E05">
        <w:rPr>
          <w:color w:val="000000"/>
          <w:spacing w:val="-3"/>
        </w:rPr>
        <w:t xml:space="preserve">.  </w:t>
      </w:r>
      <w:r w:rsidR="00551385">
        <w:rPr>
          <w:color w:val="000000"/>
          <w:spacing w:val="-3"/>
        </w:rPr>
        <w:t xml:space="preserve">Paragraph 10 of the Stipulation requires the Company to </w:t>
      </w:r>
      <w:r w:rsidR="00551385">
        <w:t xml:space="preserve">provide Staff with the fuel rates as revised to reflect the adjustments agreed to in the Stipulation. </w:t>
      </w:r>
    </w:p>
    <w:p w:rsidR="00532E05" w:rsidRDefault="00532E05" w:rsidP="00532E05">
      <w:pPr>
        <w:overflowPunct/>
        <w:autoSpaceDE/>
        <w:autoSpaceDN/>
        <w:adjustRightInd/>
        <w:spacing w:line="480" w:lineRule="auto"/>
        <w:ind w:firstLine="720"/>
        <w:jc w:val="both"/>
        <w:textAlignment w:val="auto"/>
      </w:pPr>
    </w:p>
    <w:p w:rsidR="00B860B8" w:rsidRDefault="00B61BDD" w:rsidP="00B61BDD">
      <w:pPr>
        <w:spacing w:line="480" w:lineRule="auto"/>
        <w:ind w:firstLine="720"/>
        <w:jc w:val="both"/>
      </w:pPr>
      <w:r>
        <w:t xml:space="preserve">In addition, the Stipulation </w:t>
      </w:r>
      <w:r w:rsidR="00551385">
        <w:t>provides that the</w:t>
      </w:r>
      <w:r w:rsidR="00FC2DDC">
        <w:t xml:space="preserve"> Interim Fuel </w:t>
      </w:r>
      <w:r w:rsidR="00D1293F">
        <w:t>Rider (</w:t>
      </w:r>
      <w:r w:rsidR="00FC2DDC">
        <w:t>“</w:t>
      </w:r>
      <w:r>
        <w:t>IFR</w:t>
      </w:r>
      <w:r w:rsidR="00FC2DDC">
        <w:t>”)</w:t>
      </w:r>
      <w:r w:rsidR="00551385">
        <w:t xml:space="preserve"> remain unchanged from what the Commission approved in the FCR-23 proceeding. (Stipulation, Para. 3) </w:t>
      </w:r>
      <w:r w:rsidR="00D1293F">
        <w:t xml:space="preserve"> Specifically</w:t>
      </w:r>
      <w:r>
        <w:t>,</w:t>
      </w:r>
      <w:r w:rsidR="00D1293F">
        <w:t xml:space="preserve"> the </w:t>
      </w:r>
      <w:r w:rsidR="00B860B8">
        <w:t>IFR require</w:t>
      </w:r>
      <w:r w:rsidR="00551385">
        <w:t>s</w:t>
      </w:r>
      <w:r w:rsidR="00B860B8">
        <w:t xml:space="preserve"> the Company to make certain specified filings with the Commission for each month when the fuel balance is over</w:t>
      </w:r>
      <w:r w:rsidR="0031387F">
        <w:t>-</w:t>
      </w:r>
      <w:r w:rsidR="00B860B8">
        <w:t xml:space="preserve"> or </w:t>
      </w:r>
      <w:r w:rsidR="0031387F">
        <w:t>under-</w:t>
      </w:r>
      <w:r w:rsidR="00B860B8">
        <w:t>collected by $200 million or more on a cumulative basis, and allow</w:t>
      </w:r>
      <w:r w:rsidR="00551385">
        <w:t>s</w:t>
      </w:r>
      <w:r w:rsidR="005536E0">
        <w:t xml:space="preserve"> the FCR</w:t>
      </w:r>
      <w:r w:rsidR="00B860B8">
        <w:t xml:space="preserve"> rates to be revised upward or downward by no more than 15%.  </w:t>
      </w:r>
    </w:p>
    <w:p w:rsidR="00F66C50" w:rsidRDefault="00B61BDD" w:rsidP="00B61BDD">
      <w:pPr>
        <w:spacing w:line="480" w:lineRule="auto"/>
        <w:ind w:firstLine="720"/>
        <w:jc w:val="both"/>
      </w:pPr>
      <w:r>
        <w:t xml:space="preserve">The Stipulation </w:t>
      </w:r>
      <w:r w:rsidR="00F66C50">
        <w:t xml:space="preserve">also provides that the Commission shall make no finding of </w:t>
      </w:r>
      <w:r w:rsidR="00D8705E">
        <w:t xml:space="preserve">prudence, imprudence or </w:t>
      </w:r>
      <w:r w:rsidR="00F66C50">
        <w:t xml:space="preserve">disallowance with regard to any of the </w:t>
      </w:r>
      <w:r w:rsidR="00D8705E">
        <w:t xml:space="preserve">nuclear </w:t>
      </w:r>
      <w:r w:rsidR="00F66C50">
        <w:t>generating plant outages which occurred during the historical test period of the FCR</w:t>
      </w:r>
      <w:r w:rsidR="006C6415">
        <w:t>-2</w:t>
      </w:r>
      <w:r w:rsidR="00D8705E">
        <w:t>4</w:t>
      </w:r>
      <w:r w:rsidR="00F66C50">
        <w:t xml:space="preserve"> review in this proceeding. (Stipulation, Para. </w:t>
      </w:r>
      <w:r w:rsidR="00D8705E">
        <w:t>6</w:t>
      </w:r>
      <w:r w:rsidR="00F66C50">
        <w:t>)</w:t>
      </w:r>
    </w:p>
    <w:p w:rsidR="00B61BDD" w:rsidRPr="00B41116" w:rsidRDefault="00B61BDD" w:rsidP="00B61BDD">
      <w:pPr>
        <w:spacing w:line="480" w:lineRule="auto"/>
        <w:ind w:firstLine="720"/>
        <w:jc w:val="both"/>
      </w:pPr>
      <w:r>
        <w:t xml:space="preserve">The Stipulation </w:t>
      </w:r>
      <w:r w:rsidR="006C6415">
        <w:t xml:space="preserve">also addresses </w:t>
      </w:r>
      <w:r>
        <w:t xml:space="preserve">a number of other issues </w:t>
      </w:r>
      <w:r w:rsidR="00F66C50">
        <w:t xml:space="preserve">in </w:t>
      </w:r>
      <w:r>
        <w:t xml:space="preserve">this proceeding.  These issues included: (1) </w:t>
      </w:r>
      <w:r w:rsidR="00D8705E">
        <w:t xml:space="preserve">Staff’s recommendation that the Commission open a rulemaking to review existing Minimum Filing Requirements (“MFRs”); and </w:t>
      </w:r>
      <w:r>
        <w:t>(2)</w:t>
      </w:r>
      <w:r w:rsidR="00D8705E" w:rsidRPr="00512497">
        <w:t xml:space="preserve">, </w:t>
      </w:r>
      <w:r w:rsidR="00D8705E" w:rsidRPr="00815C41">
        <w:t>the</w:t>
      </w:r>
      <w:r w:rsidR="00D8705E">
        <w:t xml:space="preserve"> Company’s agreement to pay for any reasonably necessary expert assistance to the Commission Staff in conjunction with the ongoing level of analysis necessary to revie</w:t>
      </w:r>
      <w:r w:rsidR="00D8705E" w:rsidRPr="00815C41">
        <w:t xml:space="preserve">w </w:t>
      </w:r>
      <w:r w:rsidR="00D8705E" w:rsidRPr="00512497">
        <w:t>fuel cost recovery issues prior to the filing of the FCR-25 case</w:t>
      </w:r>
      <w:r w:rsidR="00D8705E">
        <w:t xml:space="preserve">, in an amount not to exceed $10,000 annually. </w:t>
      </w:r>
    </w:p>
    <w:p w:rsidR="00D8705E" w:rsidRDefault="00B61BDD" w:rsidP="00D8705E">
      <w:pPr>
        <w:overflowPunct/>
        <w:autoSpaceDE/>
        <w:autoSpaceDN/>
        <w:adjustRightInd/>
        <w:spacing w:line="480" w:lineRule="auto"/>
        <w:ind w:firstLine="720"/>
        <w:jc w:val="both"/>
        <w:textAlignment w:val="auto"/>
      </w:pPr>
      <w:r>
        <w:t xml:space="preserve">Finally, in accordance with Paragraph </w:t>
      </w:r>
      <w:r w:rsidR="00D8705E">
        <w:t>8</w:t>
      </w:r>
      <w:r>
        <w:t xml:space="preserve"> of the Stipulation, </w:t>
      </w:r>
      <w:r w:rsidR="00D8705E">
        <w:t xml:space="preserve">the Company shall file its next </w:t>
      </w:r>
      <w:r w:rsidR="00D8705E">
        <w:lastRenderedPageBreak/>
        <w:t>FCR application on or before February 28, 2017, with revised fuel rates going into effect June 1, 2017, unless a later date for filing the next FCR application is otherwise agreed to by Staff or ordered by the Commission before February 28, 2017.</w:t>
      </w:r>
    </w:p>
    <w:p w:rsidR="00F52464" w:rsidRDefault="00F52464" w:rsidP="00B61BDD">
      <w:pPr>
        <w:tabs>
          <w:tab w:val="left" w:pos="-720"/>
        </w:tabs>
        <w:suppressAutoHyphens/>
        <w:spacing w:after="240" w:line="480" w:lineRule="auto"/>
        <w:jc w:val="both"/>
      </w:pPr>
    </w:p>
    <w:p w:rsidR="00F52464" w:rsidRPr="00A44CF8" w:rsidRDefault="00F52464" w:rsidP="00B61BDD">
      <w:pPr>
        <w:tabs>
          <w:tab w:val="left" w:pos="-720"/>
        </w:tabs>
        <w:suppressAutoHyphens/>
        <w:spacing w:after="240" w:line="480" w:lineRule="auto"/>
        <w:jc w:val="both"/>
      </w:pPr>
    </w:p>
    <w:p w:rsidR="00B61BDD" w:rsidRPr="00ED07BA" w:rsidRDefault="00B61BDD" w:rsidP="00B61BDD">
      <w:pPr>
        <w:pStyle w:val="OutlineL1"/>
        <w:jc w:val="center"/>
        <w:rPr>
          <w:b/>
          <w:u w:val="single"/>
        </w:rPr>
      </w:pPr>
      <w:r w:rsidRPr="00ED07BA">
        <w:rPr>
          <w:b/>
          <w:u w:val="single"/>
        </w:rPr>
        <w:t>THE COMMISSIO</w:t>
      </w:r>
      <w:r>
        <w:rPr>
          <w:b/>
          <w:u w:val="single"/>
        </w:rPr>
        <w:t>N SHOULD ADOPT THE STIPULATION</w:t>
      </w:r>
      <w:r w:rsidR="003979CD">
        <w:rPr>
          <w:b/>
          <w:u w:val="single"/>
        </w:rPr>
        <w:t xml:space="preserve"> WITHOUT MODIFICATION</w:t>
      </w:r>
    </w:p>
    <w:p w:rsidR="00B61BDD" w:rsidRPr="007F3D03" w:rsidRDefault="00986B05" w:rsidP="00986B05">
      <w:pPr>
        <w:pStyle w:val="OutlineL2"/>
        <w:numPr>
          <w:ilvl w:val="0"/>
          <w:numId w:val="0"/>
        </w:numPr>
        <w:ind w:left="2160" w:hanging="720"/>
        <w:rPr>
          <w:rFonts w:ascii="Times New Roman" w:hAnsi="Times New Roman" w:cs="Times New Roman"/>
          <w:b/>
        </w:rPr>
      </w:pPr>
      <w:r>
        <w:rPr>
          <w:rFonts w:ascii="Times New Roman" w:eastAsia="SimSun" w:hAnsi="Times New Roman" w:cs="Times New Roman"/>
          <w:b/>
          <w:lang w:eastAsia="zh-CN"/>
        </w:rPr>
        <w:t>A.</w:t>
      </w:r>
      <w:r>
        <w:rPr>
          <w:rFonts w:ascii="Times New Roman" w:eastAsia="SimSun" w:hAnsi="Times New Roman" w:cs="Times New Roman"/>
          <w:b/>
          <w:lang w:eastAsia="zh-CN"/>
        </w:rPr>
        <w:tab/>
      </w:r>
      <w:r w:rsidR="003979CD">
        <w:rPr>
          <w:rFonts w:ascii="Times New Roman" w:eastAsia="SimSun" w:hAnsi="Times New Roman" w:cs="Times New Roman"/>
          <w:b/>
          <w:lang w:eastAsia="zh-CN"/>
        </w:rPr>
        <w:t xml:space="preserve">THE IFR </w:t>
      </w:r>
      <w:r>
        <w:rPr>
          <w:rFonts w:ascii="Times New Roman" w:eastAsia="SimSun" w:hAnsi="Times New Roman" w:cs="Times New Roman"/>
          <w:b/>
          <w:lang w:eastAsia="zh-CN"/>
        </w:rPr>
        <w:t>SHOULD REMAIN UNCHANGED FROM WHAT THE COMMISSION ADOPTED IN THE FCR-23 PROCEEDING</w:t>
      </w:r>
      <w:r w:rsidR="003979CD">
        <w:rPr>
          <w:rFonts w:ascii="Times New Roman" w:eastAsia="SimSun" w:hAnsi="Times New Roman" w:cs="Times New Roman"/>
          <w:b/>
          <w:lang w:eastAsia="zh-CN"/>
        </w:rPr>
        <w:t xml:space="preserve">.  </w:t>
      </w:r>
    </w:p>
    <w:p w:rsidR="005536E0" w:rsidRDefault="00986B05" w:rsidP="00986B05">
      <w:pPr>
        <w:pStyle w:val="NormalWeb"/>
        <w:spacing w:before="0" w:beforeAutospacing="0" w:after="0" w:afterAutospacing="0" w:line="480" w:lineRule="auto"/>
        <w:ind w:firstLine="720"/>
        <w:jc w:val="both"/>
      </w:pPr>
      <w:r>
        <w:rPr>
          <w:bCs/>
        </w:rPr>
        <w:t>The current IFR structure</w:t>
      </w:r>
      <w:r w:rsidR="005536E0">
        <w:rPr>
          <w:bCs/>
        </w:rPr>
        <w:t>, as adopted by the Commission in the FCR-23 proceeding, provides</w:t>
      </w:r>
      <w:r>
        <w:rPr>
          <w:bCs/>
        </w:rPr>
        <w:t xml:space="preserve"> a mechanism for the Commission to efficiently revise the FCR rates to avoid excessive growth in the fuel balance.  </w:t>
      </w:r>
      <w:r>
        <w:t>Specifically, the IFR requires the Company to make certain specified filings with the Commission for each month when the fuel balance is over- or under-collected by $200 million or more on a cumulat</w:t>
      </w:r>
      <w:r w:rsidR="005536E0">
        <w:t>ive basis, and allows the FCR</w:t>
      </w:r>
      <w:r>
        <w:t xml:space="preserve"> rates to be revised upward or downward by no more than 15%.  </w:t>
      </w:r>
    </w:p>
    <w:p w:rsidR="005536E0" w:rsidRDefault="005536E0" w:rsidP="00986B05">
      <w:pPr>
        <w:pStyle w:val="NormalWeb"/>
        <w:spacing w:before="0" w:beforeAutospacing="0" w:after="0" w:afterAutospacing="0" w:line="480" w:lineRule="auto"/>
        <w:ind w:firstLine="720"/>
        <w:jc w:val="both"/>
      </w:pPr>
    </w:p>
    <w:p w:rsidR="00837755" w:rsidRPr="0086063C" w:rsidRDefault="005536E0" w:rsidP="0086063C">
      <w:pPr>
        <w:pStyle w:val="NormalWeb"/>
        <w:spacing w:before="0" w:beforeAutospacing="0" w:after="0" w:afterAutospacing="0" w:line="480" w:lineRule="auto"/>
        <w:ind w:firstLine="720"/>
        <w:jc w:val="both"/>
        <w:rPr>
          <w:bCs/>
        </w:rPr>
      </w:pPr>
      <w:r>
        <w:t xml:space="preserve">Both the Staff and the Company recommended revisions to the IFR mechanism. The Stipulation provides that the IFR mechanism remain unchanged from what was adopted by the Commission in the FCR-23 proceeding. </w:t>
      </w:r>
      <w:r w:rsidR="00986B05">
        <w:rPr>
          <w:bCs/>
        </w:rPr>
        <w:t xml:space="preserve"> The current IFR structure has functioned as designed to allow the Company and Commission to quickly ad</w:t>
      </w:r>
      <w:r w:rsidR="0086063C">
        <w:rPr>
          <w:bCs/>
        </w:rPr>
        <w:t xml:space="preserve">just rates, as needed. </w:t>
      </w:r>
      <w:r w:rsidR="0086063C">
        <w:t>Maintaining t</w:t>
      </w:r>
      <w:r w:rsidR="00DC4F1D">
        <w:t xml:space="preserve">he IFR </w:t>
      </w:r>
      <w:r w:rsidR="0086063C">
        <w:t xml:space="preserve">in its current form, as </w:t>
      </w:r>
      <w:r w:rsidR="00DC4F1D">
        <w:t>set forth in the Stipulation</w:t>
      </w:r>
      <w:r w:rsidR="0086063C">
        <w:t>,</w:t>
      </w:r>
      <w:r w:rsidR="00DC4F1D">
        <w:t xml:space="preserve"> is a reasonable compromise of the positions of Staff and the </w:t>
      </w:r>
      <w:r w:rsidR="00D6390E">
        <w:t>Company that</w:t>
      </w:r>
      <w:r w:rsidR="002404BB">
        <w:t xml:space="preserve"> </w:t>
      </w:r>
      <w:r w:rsidR="00DC4F1D">
        <w:t>reflects the public interest and should be adopted by the Commission.</w:t>
      </w:r>
    </w:p>
    <w:p w:rsidR="00837755" w:rsidRDefault="00837755" w:rsidP="00B61BDD">
      <w:pPr>
        <w:tabs>
          <w:tab w:val="left" w:pos="-720"/>
        </w:tabs>
        <w:suppressAutoHyphens/>
        <w:spacing w:line="480" w:lineRule="auto"/>
        <w:jc w:val="both"/>
      </w:pPr>
    </w:p>
    <w:p w:rsidR="00837755" w:rsidRDefault="00837755" w:rsidP="00B61BDD">
      <w:pPr>
        <w:tabs>
          <w:tab w:val="left" w:pos="-720"/>
        </w:tabs>
        <w:suppressAutoHyphens/>
        <w:spacing w:line="480" w:lineRule="auto"/>
        <w:jc w:val="both"/>
      </w:pPr>
    </w:p>
    <w:p w:rsidR="005634DC" w:rsidRPr="00CB5EC4" w:rsidRDefault="005634DC" w:rsidP="005634DC">
      <w:pPr>
        <w:pStyle w:val="BodyTextIndent"/>
        <w:spacing w:after="240"/>
        <w:ind w:left="1440" w:hanging="720"/>
        <w:jc w:val="both"/>
      </w:pPr>
      <w:r w:rsidRPr="00CB5EC4">
        <w:rPr>
          <w:b/>
        </w:rPr>
        <w:t>B.</w:t>
      </w:r>
      <w:r>
        <w:rPr>
          <w:b/>
        </w:rPr>
        <w:tab/>
      </w:r>
      <w:r w:rsidRPr="00CE45BD">
        <w:rPr>
          <w:rFonts w:eastAsia="SimSun"/>
          <w:b/>
          <w:lang w:eastAsia="zh-CN"/>
        </w:rPr>
        <w:t xml:space="preserve">THE COMMISSION SHOULD ADOPT THE </w:t>
      </w:r>
      <w:r>
        <w:rPr>
          <w:rFonts w:eastAsia="SimSun"/>
          <w:b/>
          <w:lang w:eastAsia="zh-CN"/>
        </w:rPr>
        <w:t xml:space="preserve">FCR RATES </w:t>
      </w:r>
      <w:r w:rsidRPr="00CE45BD">
        <w:rPr>
          <w:rFonts w:eastAsia="SimSun"/>
          <w:b/>
          <w:lang w:eastAsia="zh-CN"/>
        </w:rPr>
        <w:t>AS DETAILED</w:t>
      </w:r>
      <w:r>
        <w:rPr>
          <w:rFonts w:eastAsia="SimSun"/>
          <w:b/>
          <w:lang w:eastAsia="zh-CN"/>
        </w:rPr>
        <w:t xml:space="preserve"> IN THE STIPULATION</w:t>
      </w:r>
      <w:r w:rsidRPr="00CE45BD">
        <w:rPr>
          <w:rFonts w:eastAsia="SimSun"/>
          <w:b/>
          <w:lang w:eastAsia="zh-CN"/>
        </w:rPr>
        <w:t xml:space="preserve"> </w:t>
      </w:r>
    </w:p>
    <w:p w:rsidR="00C5555B" w:rsidRDefault="00CB5EC4" w:rsidP="003C585A">
      <w:pPr>
        <w:widowControl/>
        <w:spacing w:line="480" w:lineRule="auto"/>
        <w:ind w:firstLine="720"/>
        <w:jc w:val="both"/>
      </w:pPr>
      <w:r>
        <w:t>In its testimony, Staff</w:t>
      </w:r>
      <w:r w:rsidRPr="00CB5EC4">
        <w:t xml:space="preserve"> </w:t>
      </w:r>
      <w:r>
        <w:t>recommended a very small change to the r</w:t>
      </w:r>
      <w:r w:rsidR="00D6390E">
        <w:t xml:space="preserve">ates that the Company proposed, resulting in about a 0.5% reduction of the FCR-24 rates proposed by the Company. (Tr. </w:t>
      </w:r>
      <w:r w:rsidR="00D7764F">
        <w:t xml:space="preserve">54) </w:t>
      </w:r>
      <w:r w:rsidR="002404BB">
        <w:t>The Stipulation contemplates that the rates proposed by the Company in its Application</w:t>
      </w:r>
      <w:r w:rsidR="003C585A">
        <w:t xml:space="preserve"> s</w:t>
      </w:r>
      <w:r w:rsidR="002404BB">
        <w:t>hould be adopted as the FCR-2</w:t>
      </w:r>
      <w:r w:rsidR="003C585A">
        <w:t>4</w:t>
      </w:r>
      <w:r w:rsidR="002404BB">
        <w:t xml:space="preserve"> rates. </w:t>
      </w:r>
      <w:r w:rsidR="003C585A">
        <w:t xml:space="preserve">The FCR rates will be further reduced as a result of the effect of paragraph 5 of the Stipulation, which acts to reduce the fuel balance by $6.0 million to be reflected in fuel rates effective January 1, 2016. In </w:t>
      </w:r>
      <w:r w:rsidR="002404BB">
        <w:t>These rates are just and reasonable</w:t>
      </w:r>
      <w:r w:rsidR="00B52BA3">
        <w:t xml:space="preserve"> and</w:t>
      </w:r>
      <w:r w:rsidR="002404BB">
        <w:t xml:space="preserve"> represent a fair compromise of the positions of Staff and the Company</w:t>
      </w:r>
      <w:r w:rsidR="00C0270B">
        <w:t xml:space="preserve">.  The rates in the </w:t>
      </w:r>
      <w:r w:rsidR="00736F1A">
        <w:t xml:space="preserve">Stipulation </w:t>
      </w:r>
      <w:r w:rsidR="002404BB">
        <w:t>should be adopted and approved by the Commission.</w:t>
      </w:r>
      <w:r w:rsidR="00C5555B">
        <w:t xml:space="preserve">  </w:t>
      </w:r>
    </w:p>
    <w:p w:rsidR="00CB5EC4" w:rsidRDefault="00CB5EC4" w:rsidP="00C5555B">
      <w:pPr>
        <w:widowControl/>
        <w:spacing w:line="480" w:lineRule="auto"/>
        <w:ind w:firstLine="720"/>
        <w:jc w:val="both"/>
      </w:pPr>
    </w:p>
    <w:p w:rsidR="005634DC" w:rsidRDefault="005634DC" w:rsidP="005634DC">
      <w:pPr>
        <w:pStyle w:val="OutlineL1"/>
        <w:numPr>
          <w:ilvl w:val="0"/>
          <w:numId w:val="0"/>
        </w:numPr>
        <w:ind w:left="1440" w:hanging="720"/>
      </w:pPr>
      <w:r>
        <w:rPr>
          <w:rFonts w:eastAsia="SimSun"/>
          <w:b/>
          <w:bCs/>
          <w:lang w:eastAsia="zh-CN"/>
        </w:rPr>
        <w:t>C.</w:t>
      </w:r>
      <w:r>
        <w:rPr>
          <w:rFonts w:eastAsia="SimSun"/>
          <w:b/>
          <w:bCs/>
          <w:lang w:eastAsia="zh-CN"/>
        </w:rPr>
        <w:tab/>
      </w:r>
      <w:r w:rsidRPr="00DB7CAD">
        <w:rPr>
          <w:rFonts w:eastAsia="SimSun"/>
          <w:b/>
          <w:bCs/>
          <w:lang w:eastAsia="zh-CN"/>
        </w:rPr>
        <w:t>THE STIPULATION PRESENTS A FAIR RESOLUTION TO CERTAIN OTHER ISSUES</w:t>
      </w:r>
      <w:r>
        <w:t xml:space="preserve">.  </w:t>
      </w:r>
    </w:p>
    <w:p w:rsidR="00F16AFD" w:rsidRPr="00DD6383" w:rsidRDefault="00F16AFD" w:rsidP="00F16AFD">
      <w:pPr>
        <w:pStyle w:val="Subtitle"/>
      </w:pPr>
    </w:p>
    <w:p w:rsidR="00F16AFD" w:rsidRDefault="00F16AFD" w:rsidP="00EA464B">
      <w:pPr>
        <w:spacing w:line="480" w:lineRule="auto"/>
        <w:ind w:firstLine="720"/>
        <w:jc w:val="both"/>
      </w:pPr>
      <w:r>
        <w:t>Staff witness Hayet testified</w:t>
      </w:r>
      <w:r w:rsidR="00EA464B">
        <w:t xml:space="preserve"> that t</w:t>
      </w:r>
      <w:r w:rsidRPr="00DD6383">
        <w:t xml:space="preserve">he MFRs continue to play an important role in providing information that is relied on during any fuel cost proceeding.  Georgia law allows just ninety (90) days from the time the Company files its request until an order must be issued.  </w:t>
      </w:r>
      <w:r w:rsidR="00EA464B">
        <w:t>The</w:t>
      </w:r>
      <w:r w:rsidRPr="00DD6383">
        <w:t xml:space="preserve"> fact that the MFRs are filed at the same time that the Company makes its FCR filing allows Staff to conduct its investigation more efficiently.    </w:t>
      </w:r>
      <w:r w:rsidR="00EA464B">
        <w:t>Mr. Hayet recognized that the</w:t>
      </w:r>
      <w:r w:rsidRPr="00DD6383">
        <w:t xml:space="preserve"> Company provided a summary of recommended changes </w:t>
      </w:r>
      <w:r w:rsidR="00EA464B">
        <w:t xml:space="preserve">to the MFRs, and further agreed with the Company’s recommendation </w:t>
      </w:r>
      <w:r w:rsidRPr="00DD6383">
        <w:t xml:space="preserve">that the Commission implement a rulemaking designed to be completed no less than 90 days prior to the filing of the next FCR proceeding.  The changes to MFRs decided in </w:t>
      </w:r>
      <w:r w:rsidRPr="00DD6383">
        <w:lastRenderedPageBreak/>
        <w:t xml:space="preserve">that rulemaking would then be implemented in the next FCR proceeding.  </w:t>
      </w:r>
    </w:p>
    <w:p w:rsidR="00EA464B" w:rsidRDefault="00EA464B" w:rsidP="00EA464B">
      <w:pPr>
        <w:pStyle w:val="BodyText"/>
        <w:spacing w:after="0" w:line="480" w:lineRule="auto"/>
        <w:jc w:val="both"/>
      </w:pPr>
      <w:r>
        <w:t xml:space="preserve">The Stipulation provides that the Commission should </w:t>
      </w:r>
      <w:r w:rsidR="00350722">
        <w:t>initiate</w:t>
      </w:r>
      <w:r w:rsidR="00350722">
        <w:t xml:space="preserve"> </w:t>
      </w:r>
      <w:r>
        <w:t xml:space="preserve">a Notice of Proposed Rulemaking to review the existing MFRs and determine if any additions, deletions, or modifications should be made to the existing rules.  This process should be completed at least 30 days prior to the Company’s next FCR filing.  If the rulemaking is not completed prior to the next FCR filing, the Company shall comply with the current MFRs.   Staff believes that this is a fair resolution to this issue and should be adopted by the Commission.    </w:t>
      </w:r>
    </w:p>
    <w:p w:rsidR="009A71C8" w:rsidRDefault="00EA464B" w:rsidP="009A71C8">
      <w:pPr>
        <w:spacing w:line="480" w:lineRule="auto"/>
        <w:ind w:firstLine="720"/>
        <w:jc w:val="both"/>
      </w:pPr>
      <w:r>
        <w:t xml:space="preserve"> </w:t>
      </w:r>
      <w:r w:rsidR="009A71C8">
        <w:t xml:space="preserve">The Stipulation also provides that </w:t>
      </w:r>
      <w:r w:rsidR="009A71C8" w:rsidRPr="00815C41">
        <w:t>the</w:t>
      </w:r>
      <w:r w:rsidR="009A71C8">
        <w:t xml:space="preserve"> Company will pay for any reasonably necessary expert assistance to the Staff in conjunction with the ongoing level of analysis necessary to revie</w:t>
      </w:r>
      <w:r w:rsidR="009A71C8" w:rsidRPr="00815C41">
        <w:t xml:space="preserve">w </w:t>
      </w:r>
      <w:r w:rsidR="009A71C8" w:rsidRPr="00512497">
        <w:t>fuel cost recovery issues prior to the filing of the FCR-25 case</w:t>
      </w:r>
      <w:r w:rsidR="009A71C8">
        <w:t xml:space="preserve">, in an amount not to exceed $10,000 annually. </w:t>
      </w:r>
      <w:r w:rsidR="0048568D">
        <w:t xml:space="preserve">Review and analysis of fuel cost recovery issues will require substantial time and effort on behalf of Staff and its experts. The requirement that the Company pay up to $10,000 annually toward such expert assistance is reasonable and should be adopted by the Commission. </w:t>
      </w:r>
    </w:p>
    <w:p w:rsidR="004E26E9" w:rsidRPr="004E26E9" w:rsidRDefault="004E26E9" w:rsidP="004E26E9">
      <w:pPr>
        <w:ind w:left="1440" w:hanging="720"/>
        <w:jc w:val="both"/>
        <w:rPr>
          <w:b/>
        </w:rPr>
      </w:pPr>
      <w:r w:rsidRPr="004E26E9">
        <w:rPr>
          <w:b/>
        </w:rPr>
        <w:t>D.</w:t>
      </w:r>
      <w:r w:rsidRPr="004E26E9">
        <w:rPr>
          <w:b/>
        </w:rPr>
        <w:tab/>
        <w:t xml:space="preserve">THE COMMISSION SHOULD </w:t>
      </w:r>
      <w:r w:rsidR="00157CA5">
        <w:rPr>
          <w:b/>
        </w:rPr>
        <w:t>DENY</w:t>
      </w:r>
      <w:r w:rsidRPr="004E26E9">
        <w:rPr>
          <w:b/>
        </w:rPr>
        <w:t xml:space="preserve"> THE </w:t>
      </w:r>
      <w:r w:rsidR="00157CA5">
        <w:rPr>
          <w:b/>
        </w:rPr>
        <w:t>COMPANY</w:t>
      </w:r>
      <w:r w:rsidRPr="004E26E9">
        <w:rPr>
          <w:b/>
        </w:rPr>
        <w:t xml:space="preserve">’S </w:t>
      </w:r>
      <w:r w:rsidR="00774964">
        <w:rPr>
          <w:b/>
        </w:rPr>
        <w:t>REQUEST TO REVISE</w:t>
      </w:r>
      <w:r w:rsidRPr="004E26E9">
        <w:rPr>
          <w:b/>
        </w:rPr>
        <w:t xml:space="preserve"> </w:t>
      </w:r>
      <w:r w:rsidR="00157CA5">
        <w:rPr>
          <w:b/>
        </w:rPr>
        <w:t>ITS</w:t>
      </w:r>
      <w:r w:rsidR="00157CA5" w:rsidRPr="004E26E9">
        <w:rPr>
          <w:b/>
        </w:rPr>
        <w:t xml:space="preserve"> HEDGING</w:t>
      </w:r>
      <w:r w:rsidRPr="004E26E9">
        <w:rPr>
          <w:b/>
        </w:rPr>
        <w:t xml:space="preserve"> PROGRAM</w:t>
      </w:r>
      <w:r w:rsidR="00157CA5">
        <w:rPr>
          <w:b/>
        </w:rPr>
        <w:t xml:space="preserve"> AND ORDER THAT THE HEDGING PROGRAM BE RETAINED IN ITS CURRENT FORM</w:t>
      </w:r>
    </w:p>
    <w:p w:rsidR="00EA464B" w:rsidRPr="00EA464B" w:rsidRDefault="00EA464B" w:rsidP="00EA464B">
      <w:pPr>
        <w:overflowPunct/>
        <w:autoSpaceDE/>
        <w:autoSpaceDN/>
        <w:adjustRightInd/>
        <w:spacing w:line="480" w:lineRule="auto"/>
        <w:ind w:firstLine="720"/>
        <w:jc w:val="both"/>
        <w:textAlignment w:val="auto"/>
      </w:pPr>
    </w:p>
    <w:p w:rsidR="009B39F0" w:rsidRDefault="00774964" w:rsidP="009B39F0">
      <w:pPr>
        <w:spacing w:line="480" w:lineRule="auto"/>
        <w:ind w:firstLine="720"/>
        <w:jc w:val="both"/>
        <w:rPr>
          <w:bCs/>
        </w:rPr>
      </w:pPr>
      <w:r>
        <w:t xml:space="preserve">In his prefiled direct testimony, Company witness Poroch recommended that the Commission approve certain revisions to the Company’s existing natural gas hedging program. </w:t>
      </w:r>
      <w:r w:rsidR="00092C91">
        <w:t xml:space="preserve">Specifically, Mr. Poroch recommended that the Commission re-authorize similar hedging activities to those previously approved by the Commission in its July 20, 2007 order in Docket 22403, as subsequently modified in 2012 and 2013. </w:t>
      </w:r>
      <w:r w:rsidR="009B39F0">
        <w:t xml:space="preserve">Staff witness Newsome recommended that </w:t>
      </w:r>
      <w:r w:rsidR="009B39F0">
        <w:rPr>
          <w:bCs/>
        </w:rPr>
        <w:t>that</w:t>
      </w:r>
      <w:r w:rsidR="009B39F0" w:rsidRPr="00191500">
        <w:rPr>
          <w:bCs/>
        </w:rPr>
        <w:t xml:space="preserve"> </w:t>
      </w:r>
      <w:r w:rsidR="009B39F0">
        <w:rPr>
          <w:bCs/>
        </w:rPr>
        <w:t xml:space="preserve">the current hedging program be left in place in its current form, and that the Commission </w:t>
      </w:r>
      <w:r w:rsidR="009B39F0">
        <w:rPr>
          <w:bCs/>
        </w:rPr>
        <w:lastRenderedPageBreak/>
        <w:t>deny the Company’s request to modify the program. For the reasons set forth below, the Commission should adopt Staff’s recommendation and deny the Company’s request to revise its hedging program.</w:t>
      </w:r>
    </w:p>
    <w:p w:rsidR="00707A63" w:rsidRDefault="00957364" w:rsidP="00D11383">
      <w:pPr>
        <w:tabs>
          <w:tab w:val="left" w:pos="-720"/>
        </w:tabs>
        <w:suppressAutoHyphens/>
        <w:spacing w:line="480" w:lineRule="atLeast"/>
        <w:jc w:val="both"/>
      </w:pPr>
      <w:r>
        <w:tab/>
        <w:t>The current structure of the hedging program</w:t>
      </w:r>
      <w:r w:rsidR="00BF7C7C">
        <w:t>, which</w:t>
      </w:r>
      <w:r>
        <w:t xml:space="preserve"> has been in place for the past three years, strikes the appropriate balance between providing ratepayer protection from high natural gas prices and minimizing impact on ratepayer revenue requirement</w:t>
      </w:r>
      <w:r w:rsidR="00BF7C7C">
        <w:t>, and should not be modified.</w:t>
      </w:r>
    </w:p>
    <w:p w:rsidR="00707A63" w:rsidRPr="00707A63" w:rsidRDefault="00707A63" w:rsidP="00707A63">
      <w:pPr>
        <w:tabs>
          <w:tab w:val="left" w:pos="-720"/>
        </w:tabs>
        <w:suppressAutoHyphens/>
        <w:spacing w:line="480" w:lineRule="atLeast"/>
        <w:jc w:val="both"/>
      </w:pPr>
      <w:r>
        <w:t>Prior to 2013, when the current structure of the hedging program was approved by the Commission</w:t>
      </w:r>
      <w:r>
        <w:rPr>
          <w:bCs/>
        </w:rPr>
        <w:t xml:space="preserve">, operation of the Company’s hedging program resulted in considerable cost to ratepayers. The hedging program significantly increased FCR revenue requirement in every year except 2005 and 2008 when it provided a small offset. As the chart included in Mr. Newsome’s testimony demonstrates, </w:t>
      </w:r>
      <w:r w:rsidR="0024316A">
        <w:rPr>
          <w:bCs/>
        </w:rPr>
        <w:t>increases in FCR revenue requirement have been considerably smaller since the current hedging program structure was approved in 2013. (Tr. 184)</w:t>
      </w:r>
    </w:p>
    <w:p w:rsidR="00707A63" w:rsidRDefault="00707A63" w:rsidP="00707A63">
      <w:pPr>
        <w:spacing w:line="480" w:lineRule="auto"/>
        <w:ind w:left="720" w:hanging="720"/>
        <w:rPr>
          <w:bCs/>
        </w:rPr>
      </w:pPr>
    </w:p>
    <w:p w:rsidR="00707A63" w:rsidRDefault="00707A63" w:rsidP="00707A63">
      <w:pPr>
        <w:spacing w:line="480" w:lineRule="auto"/>
        <w:ind w:left="720" w:hanging="720"/>
        <w:rPr>
          <w:bCs/>
        </w:rPr>
      </w:pPr>
      <w:r>
        <w:rPr>
          <w:bCs/>
        </w:rPr>
        <w:tab/>
      </w:r>
      <w:r>
        <w:rPr>
          <w:bCs/>
        </w:rPr>
        <w:tab/>
      </w:r>
      <w:r>
        <w:rPr>
          <w:bCs/>
        </w:rPr>
        <w:tab/>
      </w:r>
    </w:p>
    <w:tbl>
      <w:tblPr>
        <w:tblW w:w="2548" w:type="dxa"/>
        <w:tblInd w:w="3076" w:type="dxa"/>
        <w:tblLook w:val="04A0"/>
      </w:tblPr>
      <w:tblGrid>
        <w:gridCol w:w="1160"/>
        <w:gridCol w:w="1456"/>
      </w:tblGrid>
      <w:tr w:rsidR="00707A63" w:rsidRPr="0024316A" w:rsidTr="006F09C0">
        <w:trPr>
          <w:trHeight w:val="288"/>
        </w:trPr>
        <w:tc>
          <w:tcPr>
            <w:tcW w:w="1160" w:type="dxa"/>
            <w:tcBorders>
              <w:top w:val="nil"/>
              <w:left w:val="nil"/>
              <w:bottom w:val="nil"/>
              <w:right w:val="nil"/>
            </w:tcBorders>
            <w:shd w:val="clear" w:color="auto" w:fill="auto"/>
            <w:noWrap/>
            <w:vAlign w:val="bottom"/>
            <w:hideMark/>
          </w:tcPr>
          <w:p w:rsidR="00707A63" w:rsidRPr="0024316A" w:rsidRDefault="00707A63" w:rsidP="006F09C0">
            <w:pPr>
              <w:rPr>
                <w:rFonts w:cs="Times New Roman"/>
                <w:color w:val="000000"/>
              </w:rPr>
            </w:pPr>
          </w:p>
        </w:tc>
        <w:tc>
          <w:tcPr>
            <w:tcW w:w="1388" w:type="dxa"/>
            <w:tcBorders>
              <w:top w:val="nil"/>
              <w:left w:val="nil"/>
              <w:bottom w:val="nil"/>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 xml:space="preserve">Hedging </w:t>
            </w:r>
          </w:p>
        </w:tc>
      </w:tr>
      <w:tr w:rsidR="00707A63" w:rsidRPr="0024316A" w:rsidTr="006F09C0">
        <w:trPr>
          <w:trHeight w:val="288"/>
        </w:trPr>
        <w:tc>
          <w:tcPr>
            <w:tcW w:w="1160" w:type="dxa"/>
            <w:tcBorders>
              <w:top w:val="nil"/>
              <w:left w:val="nil"/>
              <w:bottom w:val="nil"/>
              <w:right w:val="nil"/>
            </w:tcBorders>
            <w:shd w:val="clear" w:color="auto" w:fill="auto"/>
            <w:noWrap/>
            <w:vAlign w:val="bottom"/>
            <w:hideMark/>
          </w:tcPr>
          <w:p w:rsidR="00707A63" w:rsidRPr="0024316A" w:rsidRDefault="00707A63" w:rsidP="006F09C0">
            <w:pPr>
              <w:rPr>
                <w:rFonts w:cs="Times New Roman"/>
                <w:color w:val="000000"/>
              </w:rPr>
            </w:pPr>
          </w:p>
        </w:tc>
        <w:tc>
          <w:tcPr>
            <w:tcW w:w="1388" w:type="dxa"/>
            <w:tcBorders>
              <w:top w:val="nil"/>
              <w:left w:val="nil"/>
              <w:bottom w:val="nil"/>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 xml:space="preserve">Program </w:t>
            </w:r>
          </w:p>
        </w:tc>
      </w:tr>
      <w:tr w:rsidR="00707A63" w:rsidRPr="0024316A" w:rsidTr="006F09C0">
        <w:trPr>
          <w:trHeight w:val="288"/>
        </w:trPr>
        <w:tc>
          <w:tcPr>
            <w:tcW w:w="1160" w:type="dxa"/>
            <w:tcBorders>
              <w:top w:val="nil"/>
              <w:left w:val="nil"/>
              <w:bottom w:val="nil"/>
              <w:right w:val="nil"/>
            </w:tcBorders>
            <w:shd w:val="clear" w:color="auto" w:fill="auto"/>
            <w:noWrap/>
            <w:vAlign w:val="bottom"/>
            <w:hideMark/>
          </w:tcPr>
          <w:p w:rsidR="00707A63" w:rsidRPr="0024316A" w:rsidRDefault="00707A63" w:rsidP="006F09C0">
            <w:pPr>
              <w:rPr>
                <w:rFonts w:cs="Times New Roman"/>
                <w:color w:val="000000"/>
              </w:rPr>
            </w:pPr>
          </w:p>
        </w:tc>
        <w:tc>
          <w:tcPr>
            <w:tcW w:w="1388" w:type="dxa"/>
            <w:tcBorders>
              <w:top w:val="nil"/>
              <w:left w:val="nil"/>
              <w:bottom w:val="nil"/>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Impact on</w:t>
            </w:r>
          </w:p>
        </w:tc>
      </w:tr>
      <w:tr w:rsidR="00707A63" w:rsidRPr="0024316A" w:rsidTr="006F09C0">
        <w:trPr>
          <w:trHeight w:val="288"/>
        </w:trPr>
        <w:tc>
          <w:tcPr>
            <w:tcW w:w="1160" w:type="dxa"/>
            <w:tcBorders>
              <w:top w:val="nil"/>
              <w:left w:val="nil"/>
              <w:bottom w:val="nil"/>
              <w:right w:val="nil"/>
            </w:tcBorders>
            <w:shd w:val="clear" w:color="auto" w:fill="auto"/>
            <w:noWrap/>
            <w:vAlign w:val="bottom"/>
            <w:hideMark/>
          </w:tcPr>
          <w:p w:rsidR="00707A63" w:rsidRPr="0024316A" w:rsidRDefault="00707A63" w:rsidP="006F09C0">
            <w:pPr>
              <w:rPr>
                <w:rFonts w:cs="Times New Roman"/>
                <w:color w:val="000000"/>
              </w:rPr>
            </w:pPr>
          </w:p>
        </w:tc>
        <w:tc>
          <w:tcPr>
            <w:tcW w:w="1388" w:type="dxa"/>
            <w:tcBorders>
              <w:top w:val="nil"/>
              <w:left w:val="nil"/>
              <w:bottom w:val="nil"/>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FCR Revenue</w:t>
            </w:r>
          </w:p>
        </w:tc>
      </w:tr>
      <w:tr w:rsidR="00707A63" w:rsidRPr="0024316A" w:rsidTr="006F09C0">
        <w:trPr>
          <w:trHeight w:val="288"/>
        </w:trPr>
        <w:tc>
          <w:tcPr>
            <w:tcW w:w="1160" w:type="dxa"/>
            <w:tcBorders>
              <w:top w:val="nil"/>
              <w:left w:val="nil"/>
              <w:bottom w:val="nil"/>
              <w:right w:val="nil"/>
            </w:tcBorders>
            <w:shd w:val="clear" w:color="auto" w:fill="auto"/>
            <w:noWrap/>
            <w:vAlign w:val="bottom"/>
            <w:hideMark/>
          </w:tcPr>
          <w:p w:rsidR="00707A63" w:rsidRPr="0024316A" w:rsidRDefault="00707A63" w:rsidP="006F09C0">
            <w:pPr>
              <w:rPr>
                <w:rFonts w:cs="Times New Roman"/>
                <w:color w:val="000000"/>
              </w:rPr>
            </w:pPr>
          </w:p>
        </w:tc>
        <w:tc>
          <w:tcPr>
            <w:tcW w:w="1388" w:type="dxa"/>
            <w:tcBorders>
              <w:top w:val="nil"/>
              <w:left w:val="nil"/>
              <w:bottom w:val="nil"/>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Requirement</w:t>
            </w:r>
          </w:p>
        </w:tc>
      </w:tr>
      <w:tr w:rsidR="00707A63" w:rsidRPr="0024316A" w:rsidTr="006F09C0">
        <w:trPr>
          <w:trHeight w:val="288"/>
        </w:trPr>
        <w:tc>
          <w:tcPr>
            <w:tcW w:w="1160" w:type="dxa"/>
            <w:tcBorders>
              <w:top w:val="nil"/>
              <w:left w:val="nil"/>
              <w:bottom w:val="single" w:sz="4" w:space="0" w:color="auto"/>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Year</w:t>
            </w:r>
          </w:p>
        </w:tc>
        <w:tc>
          <w:tcPr>
            <w:tcW w:w="1388" w:type="dxa"/>
            <w:tcBorders>
              <w:top w:val="nil"/>
              <w:left w:val="nil"/>
              <w:bottom w:val="single" w:sz="4" w:space="0" w:color="auto"/>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 million)</w:t>
            </w:r>
          </w:p>
        </w:tc>
      </w:tr>
      <w:tr w:rsidR="00707A63" w:rsidRPr="0024316A" w:rsidTr="006F09C0">
        <w:trPr>
          <w:trHeight w:val="288"/>
        </w:trPr>
        <w:tc>
          <w:tcPr>
            <w:tcW w:w="1160" w:type="dxa"/>
            <w:tcBorders>
              <w:top w:val="nil"/>
              <w:left w:val="nil"/>
              <w:bottom w:val="nil"/>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2005</w:t>
            </w:r>
          </w:p>
        </w:tc>
        <w:tc>
          <w:tcPr>
            <w:tcW w:w="1388" w:type="dxa"/>
            <w:tcBorders>
              <w:top w:val="nil"/>
              <w:left w:val="nil"/>
              <w:bottom w:val="nil"/>
              <w:right w:val="nil"/>
            </w:tcBorders>
            <w:shd w:val="clear" w:color="auto" w:fill="auto"/>
            <w:noWrap/>
            <w:vAlign w:val="bottom"/>
            <w:hideMark/>
          </w:tcPr>
          <w:p w:rsidR="00707A63" w:rsidRPr="0024316A" w:rsidRDefault="00707A63" w:rsidP="006F09C0">
            <w:pPr>
              <w:jc w:val="right"/>
              <w:rPr>
                <w:rFonts w:cs="Times New Roman"/>
                <w:color w:val="000000"/>
              </w:rPr>
            </w:pPr>
            <w:r w:rsidRPr="0024316A">
              <w:rPr>
                <w:rFonts w:cs="Times New Roman"/>
                <w:color w:val="000000"/>
              </w:rPr>
              <w:t>-$48</w:t>
            </w:r>
          </w:p>
        </w:tc>
      </w:tr>
      <w:tr w:rsidR="00707A63" w:rsidRPr="0024316A" w:rsidTr="006F09C0">
        <w:trPr>
          <w:trHeight w:val="288"/>
        </w:trPr>
        <w:tc>
          <w:tcPr>
            <w:tcW w:w="1160" w:type="dxa"/>
            <w:tcBorders>
              <w:top w:val="nil"/>
              <w:left w:val="nil"/>
              <w:bottom w:val="nil"/>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2006</w:t>
            </w:r>
          </w:p>
        </w:tc>
        <w:tc>
          <w:tcPr>
            <w:tcW w:w="1388" w:type="dxa"/>
            <w:tcBorders>
              <w:top w:val="nil"/>
              <w:left w:val="nil"/>
              <w:bottom w:val="nil"/>
              <w:right w:val="nil"/>
            </w:tcBorders>
            <w:shd w:val="clear" w:color="auto" w:fill="auto"/>
            <w:noWrap/>
            <w:vAlign w:val="bottom"/>
            <w:hideMark/>
          </w:tcPr>
          <w:p w:rsidR="00707A63" w:rsidRPr="0024316A" w:rsidRDefault="00707A63" w:rsidP="006F09C0">
            <w:pPr>
              <w:jc w:val="right"/>
              <w:rPr>
                <w:rFonts w:cs="Times New Roman"/>
                <w:color w:val="000000"/>
              </w:rPr>
            </w:pPr>
            <w:r w:rsidRPr="0024316A">
              <w:rPr>
                <w:rFonts w:cs="Times New Roman"/>
                <w:color w:val="000000"/>
              </w:rPr>
              <w:t>$66</w:t>
            </w:r>
          </w:p>
        </w:tc>
      </w:tr>
      <w:tr w:rsidR="00707A63" w:rsidRPr="0024316A" w:rsidTr="006F09C0">
        <w:trPr>
          <w:trHeight w:val="288"/>
        </w:trPr>
        <w:tc>
          <w:tcPr>
            <w:tcW w:w="1160" w:type="dxa"/>
            <w:tcBorders>
              <w:top w:val="nil"/>
              <w:left w:val="nil"/>
              <w:bottom w:val="nil"/>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2007</w:t>
            </w:r>
          </w:p>
        </w:tc>
        <w:tc>
          <w:tcPr>
            <w:tcW w:w="1388" w:type="dxa"/>
            <w:tcBorders>
              <w:top w:val="nil"/>
              <w:left w:val="nil"/>
              <w:bottom w:val="nil"/>
              <w:right w:val="nil"/>
            </w:tcBorders>
            <w:shd w:val="clear" w:color="auto" w:fill="auto"/>
            <w:noWrap/>
            <w:vAlign w:val="bottom"/>
            <w:hideMark/>
          </w:tcPr>
          <w:p w:rsidR="00707A63" w:rsidRPr="0024316A" w:rsidRDefault="00707A63" w:rsidP="006F09C0">
            <w:pPr>
              <w:jc w:val="right"/>
              <w:rPr>
                <w:rFonts w:cs="Times New Roman"/>
                <w:color w:val="000000"/>
              </w:rPr>
            </w:pPr>
            <w:r w:rsidRPr="0024316A">
              <w:rPr>
                <w:rFonts w:cs="Times New Roman"/>
                <w:color w:val="000000"/>
              </w:rPr>
              <w:t>$67</w:t>
            </w:r>
          </w:p>
        </w:tc>
      </w:tr>
      <w:tr w:rsidR="00707A63" w:rsidRPr="0024316A" w:rsidTr="006F09C0">
        <w:trPr>
          <w:trHeight w:val="288"/>
        </w:trPr>
        <w:tc>
          <w:tcPr>
            <w:tcW w:w="1160" w:type="dxa"/>
            <w:tcBorders>
              <w:top w:val="nil"/>
              <w:left w:val="nil"/>
              <w:bottom w:val="nil"/>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2008</w:t>
            </w:r>
          </w:p>
        </w:tc>
        <w:tc>
          <w:tcPr>
            <w:tcW w:w="1388" w:type="dxa"/>
            <w:tcBorders>
              <w:top w:val="nil"/>
              <w:left w:val="nil"/>
              <w:bottom w:val="nil"/>
              <w:right w:val="nil"/>
            </w:tcBorders>
            <w:shd w:val="clear" w:color="auto" w:fill="auto"/>
            <w:noWrap/>
            <w:vAlign w:val="bottom"/>
            <w:hideMark/>
          </w:tcPr>
          <w:p w:rsidR="00707A63" w:rsidRPr="0024316A" w:rsidRDefault="00707A63" w:rsidP="006F09C0">
            <w:pPr>
              <w:jc w:val="right"/>
              <w:rPr>
                <w:rFonts w:cs="Times New Roman"/>
                <w:color w:val="000000"/>
              </w:rPr>
            </w:pPr>
            <w:r w:rsidRPr="0024316A">
              <w:rPr>
                <w:rFonts w:cs="Times New Roman"/>
                <w:color w:val="000000"/>
              </w:rPr>
              <w:t>-$6</w:t>
            </w:r>
          </w:p>
        </w:tc>
      </w:tr>
      <w:tr w:rsidR="00707A63" w:rsidRPr="0024316A" w:rsidTr="006F09C0">
        <w:trPr>
          <w:trHeight w:val="288"/>
        </w:trPr>
        <w:tc>
          <w:tcPr>
            <w:tcW w:w="1160" w:type="dxa"/>
            <w:tcBorders>
              <w:top w:val="nil"/>
              <w:left w:val="nil"/>
              <w:bottom w:val="nil"/>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2009</w:t>
            </w:r>
          </w:p>
        </w:tc>
        <w:tc>
          <w:tcPr>
            <w:tcW w:w="1388" w:type="dxa"/>
            <w:tcBorders>
              <w:top w:val="nil"/>
              <w:left w:val="nil"/>
              <w:bottom w:val="nil"/>
              <w:right w:val="nil"/>
            </w:tcBorders>
            <w:shd w:val="clear" w:color="auto" w:fill="auto"/>
            <w:noWrap/>
            <w:vAlign w:val="bottom"/>
            <w:hideMark/>
          </w:tcPr>
          <w:p w:rsidR="00707A63" w:rsidRPr="0024316A" w:rsidRDefault="00707A63" w:rsidP="006F09C0">
            <w:pPr>
              <w:jc w:val="right"/>
              <w:rPr>
                <w:rFonts w:cs="Times New Roman"/>
                <w:color w:val="000000"/>
              </w:rPr>
            </w:pPr>
            <w:r w:rsidRPr="0024316A">
              <w:rPr>
                <w:rFonts w:cs="Times New Roman"/>
                <w:color w:val="000000"/>
              </w:rPr>
              <w:t>$184</w:t>
            </w:r>
          </w:p>
        </w:tc>
      </w:tr>
      <w:tr w:rsidR="00707A63" w:rsidRPr="0024316A" w:rsidTr="006F09C0">
        <w:trPr>
          <w:trHeight w:val="288"/>
        </w:trPr>
        <w:tc>
          <w:tcPr>
            <w:tcW w:w="1160" w:type="dxa"/>
            <w:tcBorders>
              <w:top w:val="nil"/>
              <w:left w:val="nil"/>
              <w:bottom w:val="nil"/>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2010</w:t>
            </w:r>
          </w:p>
        </w:tc>
        <w:tc>
          <w:tcPr>
            <w:tcW w:w="1388" w:type="dxa"/>
            <w:tcBorders>
              <w:top w:val="nil"/>
              <w:left w:val="nil"/>
              <w:bottom w:val="nil"/>
              <w:right w:val="nil"/>
            </w:tcBorders>
            <w:shd w:val="clear" w:color="auto" w:fill="auto"/>
            <w:noWrap/>
            <w:vAlign w:val="bottom"/>
            <w:hideMark/>
          </w:tcPr>
          <w:p w:rsidR="00707A63" w:rsidRPr="0024316A" w:rsidRDefault="00707A63" w:rsidP="006F09C0">
            <w:pPr>
              <w:jc w:val="right"/>
              <w:rPr>
                <w:rFonts w:cs="Times New Roman"/>
                <w:color w:val="000000"/>
              </w:rPr>
            </w:pPr>
            <w:r w:rsidRPr="0024316A">
              <w:rPr>
                <w:rFonts w:cs="Times New Roman"/>
                <w:color w:val="000000"/>
              </w:rPr>
              <w:t>$90</w:t>
            </w:r>
          </w:p>
        </w:tc>
      </w:tr>
      <w:tr w:rsidR="00707A63" w:rsidRPr="0024316A" w:rsidTr="006F09C0">
        <w:trPr>
          <w:trHeight w:val="288"/>
        </w:trPr>
        <w:tc>
          <w:tcPr>
            <w:tcW w:w="1160" w:type="dxa"/>
            <w:tcBorders>
              <w:top w:val="nil"/>
              <w:left w:val="nil"/>
              <w:bottom w:val="nil"/>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2011</w:t>
            </w:r>
          </w:p>
        </w:tc>
        <w:tc>
          <w:tcPr>
            <w:tcW w:w="1388" w:type="dxa"/>
            <w:tcBorders>
              <w:top w:val="nil"/>
              <w:left w:val="nil"/>
              <w:bottom w:val="nil"/>
              <w:right w:val="nil"/>
            </w:tcBorders>
            <w:shd w:val="clear" w:color="auto" w:fill="auto"/>
            <w:noWrap/>
            <w:vAlign w:val="bottom"/>
            <w:hideMark/>
          </w:tcPr>
          <w:p w:rsidR="00707A63" w:rsidRPr="0024316A" w:rsidRDefault="00707A63" w:rsidP="006F09C0">
            <w:pPr>
              <w:jc w:val="right"/>
              <w:rPr>
                <w:rFonts w:cs="Times New Roman"/>
                <w:color w:val="000000"/>
              </w:rPr>
            </w:pPr>
            <w:r w:rsidRPr="0024316A">
              <w:rPr>
                <w:rFonts w:cs="Times New Roman"/>
                <w:color w:val="000000"/>
              </w:rPr>
              <w:t>$106</w:t>
            </w:r>
          </w:p>
        </w:tc>
      </w:tr>
      <w:tr w:rsidR="00707A63" w:rsidRPr="0024316A" w:rsidTr="006F09C0">
        <w:trPr>
          <w:trHeight w:val="288"/>
        </w:trPr>
        <w:tc>
          <w:tcPr>
            <w:tcW w:w="1160" w:type="dxa"/>
            <w:tcBorders>
              <w:top w:val="nil"/>
              <w:left w:val="nil"/>
              <w:bottom w:val="nil"/>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2012</w:t>
            </w:r>
          </w:p>
        </w:tc>
        <w:tc>
          <w:tcPr>
            <w:tcW w:w="1388" w:type="dxa"/>
            <w:tcBorders>
              <w:top w:val="nil"/>
              <w:left w:val="nil"/>
              <w:bottom w:val="nil"/>
              <w:right w:val="nil"/>
            </w:tcBorders>
            <w:shd w:val="clear" w:color="auto" w:fill="auto"/>
            <w:noWrap/>
            <w:vAlign w:val="bottom"/>
            <w:hideMark/>
          </w:tcPr>
          <w:p w:rsidR="00707A63" w:rsidRPr="0024316A" w:rsidRDefault="00707A63" w:rsidP="006F09C0">
            <w:pPr>
              <w:jc w:val="right"/>
              <w:rPr>
                <w:rFonts w:cs="Times New Roman"/>
                <w:color w:val="000000"/>
              </w:rPr>
            </w:pPr>
            <w:r w:rsidRPr="0024316A">
              <w:rPr>
                <w:rFonts w:cs="Times New Roman"/>
                <w:color w:val="000000"/>
              </w:rPr>
              <w:t>$86</w:t>
            </w:r>
          </w:p>
        </w:tc>
      </w:tr>
      <w:tr w:rsidR="00707A63" w:rsidRPr="0024316A" w:rsidTr="006F09C0">
        <w:trPr>
          <w:trHeight w:val="288"/>
        </w:trPr>
        <w:tc>
          <w:tcPr>
            <w:tcW w:w="1160" w:type="dxa"/>
            <w:tcBorders>
              <w:top w:val="nil"/>
              <w:left w:val="nil"/>
              <w:bottom w:val="nil"/>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2013</w:t>
            </w:r>
          </w:p>
        </w:tc>
        <w:tc>
          <w:tcPr>
            <w:tcW w:w="1388" w:type="dxa"/>
            <w:tcBorders>
              <w:top w:val="nil"/>
              <w:left w:val="nil"/>
              <w:bottom w:val="nil"/>
              <w:right w:val="nil"/>
            </w:tcBorders>
            <w:shd w:val="clear" w:color="auto" w:fill="auto"/>
            <w:noWrap/>
            <w:vAlign w:val="bottom"/>
            <w:hideMark/>
          </w:tcPr>
          <w:p w:rsidR="00707A63" w:rsidRPr="0024316A" w:rsidRDefault="00707A63" w:rsidP="006F09C0">
            <w:pPr>
              <w:jc w:val="right"/>
              <w:rPr>
                <w:rFonts w:cs="Times New Roman"/>
                <w:color w:val="000000"/>
              </w:rPr>
            </w:pPr>
            <w:r w:rsidRPr="0024316A">
              <w:rPr>
                <w:rFonts w:cs="Times New Roman"/>
                <w:color w:val="000000"/>
              </w:rPr>
              <w:t>$33</w:t>
            </w:r>
          </w:p>
        </w:tc>
      </w:tr>
      <w:tr w:rsidR="00707A63" w:rsidRPr="0024316A" w:rsidTr="006F09C0">
        <w:trPr>
          <w:trHeight w:val="288"/>
        </w:trPr>
        <w:tc>
          <w:tcPr>
            <w:tcW w:w="1160" w:type="dxa"/>
            <w:tcBorders>
              <w:top w:val="nil"/>
              <w:left w:val="nil"/>
              <w:bottom w:val="nil"/>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2014</w:t>
            </w:r>
          </w:p>
        </w:tc>
        <w:tc>
          <w:tcPr>
            <w:tcW w:w="1388" w:type="dxa"/>
            <w:tcBorders>
              <w:top w:val="nil"/>
              <w:left w:val="nil"/>
              <w:bottom w:val="nil"/>
              <w:right w:val="nil"/>
            </w:tcBorders>
            <w:shd w:val="clear" w:color="auto" w:fill="auto"/>
            <w:noWrap/>
            <w:vAlign w:val="bottom"/>
            <w:hideMark/>
          </w:tcPr>
          <w:p w:rsidR="00707A63" w:rsidRPr="0024316A" w:rsidRDefault="00707A63" w:rsidP="006F09C0">
            <w:pPr>
              <w:jc w:val="right"/>
              <w:rPr>
                <w:rFonts w:cs="Times New Roman"/>
                <w:color w:val="000000"/>
              </w:rPr>
            </w:pPr>
            <w:r w:rsidRPr="0024316A">
              <w:rPr>
                <w:rFonts w:cs="Times New Roman"/>
                <w:color w:val="000000"/>
              </w:rPr>
              <w:t>$12</w:t>
            </w:r>
          </w:p>
        </w:tc>
      </w:tr>
      <w:tr w:rsidR="00707A63" w:rsidRPr="0024316A" w:rsidTr="006F09C0">
        <w:trPr>
          <w:trHeight w:val="288"/>
        </w:trPr>
        <w:tc>
          <w:tcPr>
            <w:tcW w:w="1160" w:type="dxa"/>
            <w:tcBorders>
              <w:top w:val="nil"/>
              <w:left w:val="nil"/>
              <w:bottom w:val="nil"/>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t>2015 YTD</w:t>
            </w:r>
          </w:p>
        </w:tc>
        <w:tc>
          <w:tcPr>
            <w:tcW w:w="1388" w:type="dxa"/>
            <w:tcBorders>
              <w:top w:val="nil"/>
              <w:left w:val="nil"/>
              <w:bottom w:val="single" w:sz="4" w:space="0" w:color="auto"/>
              <w:right w:val="nil"/>
            </w:tcBorders>
            <w:shd w:val="clear" w:color="auto" w:fill="auto"/>
            <w:noWrap/>
            <w:vAlign w:val="bottom"/>
            <w:hideMark/>
          </w:tcPr>
          <w:p w:rsidR="00707A63" w:rsidRPr="0024316A" w:rsidRDefault="00707A63" w:rsidP="006F09C0">
            <w:pPr>
              <w:jc w:val="right"/>
              <w:rPr>
                <w:rFonts w:cs="Times New Roman"/>
                <w:color w:val="000000"/>
              </w:rPr>
            </w:pPr>
            <w:r w:rsidRPr="0024316A">
              <w:rPr>
                <w:rFonts w:cs="Times New Roman"/>
                <w:color w:val="000000"/>
              </w:rPr>
              <w:t>$17</w:t>
            </w:r>
          </w:p>
        </w:tc>
      </w:tr>
      <w:tr w:rsidR="00707A63" w:rsidRPr="0024316A" w:rsidTr="006F09C0">
        <w:trPr>
          <w:trHeight w:val="288"/>
        </w:trPr>
        <w:tc>
          <w:tcPr>
            <w:tcW w:w="1160" w:type="dxa"/>
            <w:tcBorders>
              <w:top w:val="nil"/>
              <w:left w:val="nil"/>
              <w:bottom w:val="nil"/>
              <w:right w:val="nil"/>
            </w:tcBorders>
            <w:shd w:val="clear" w:color="auto" w:fill="auto"/>
            <w:noWrap/>
            <w:vAlign w:val="bottom"/>
            <w:hideMark/>
          </w:tcPr>
          <w:p w:rsidR="00707A63" w:rsidRPr="0024316A" w:rsidRDefault="00707A63" w:rsidP="006F09C0">
            <w:pPr>
              <w:jc w:val="center"/>
              <w:rPr>
                <w:rFonts w:cs="Times New Roman"/>
                <w:color w:val="000000"/>
              </w:rPr>
            </w:pPr>
            <w:r w:rsidRPr="0024316A">
              <w:rPr>
                <w:rFonts w:cs="Times New Roman"/>
                <w:color w:val="000000"/>
              </w:rPr>
              <w:lastRenderedPageBreak/>
              <w:t>Total</w:t>
            </w:r>
          </w:p>
        </w:tc>
        <w:tc>
          <w:tcPr>
            <w:tcW w:w="1388" w:type="dxa"/>
            <w:tcBorders>
              <w:top w:val="nil"/>
              <w:left w:val="nil"/>
              <w:bottom w:val="nil"/>
              <w:right w:val="nil"/>
            </w:tcBorders>
            <w:shd w:val="clear" w:color="auto" w:fill="auto"/>
            <w:noWrap/>
            <w:vAlign w:val="bottom"/>
            <w:hideMark/>
          </w:tcPr>
          <w:p w:rsidR="00707A63" w:rsidRPr="0024316A" w:rsidRDefault="00707A63" w:rsidP="006F09C0">
            <w:pPr>
              <w:jc w:val="right"/>
              <w:rPr>
                <w:rFonts w:cs="Times New Roman"/>
                <w:color w:val="000000"/>
              </w:rPr>
            </w:pPr>
            <w:r w:rsidRPr="0024316A">
              <w:rPr>
                <w:rFonts w:cs="Times New Roman"/>
                <w:color w:val="000000"/>
              </w:rPr>
              <w:t>$607</w:t>
            </w:r>
          </w:p>
        </w:tc>
      </w:tr>
    </w:tbl>
    <w:p w:rsidR="00707A63" w:rsidRPr="0024316A" w:rsidRDefault="00707A63" w:rsidP="0024316A">
      <w:pPr>
        <w:spacing w:line="480" w:lineRule="auto"/>
        <w:rPr>
          <w:bCs/>
        </w:rPr>
      </w:pPr>
    </w:p>
    <w:p w:rsidR="00EA464B" w:rsidRDefault="00BF7C7C" w:rsidP="006548E0">
      <w:pPr>
        <w:tabs>
          <w:tab w:val="left" w:pos="-720"/>
        </w:tabs>
        <w:suppressAutoHyphens/>
        <w:spacing w:line="480" w:lineRule="atLeast"/>
        <w:jc w:val="both"/>
      </w:pPr>
      <w:r>
        <w:t xml:space="preserve"> </w:t>
      </w:r>
      <w:r w:rsidR="0024316A">
        <w:tab/>
      </w:r>
      <w:r>
        <w:t xml:space="preserve">As Mr. Newsome stated in his testimony, </w:t>
      </w:r>
      <w:r w:rsidR="00D11383">
        <w:rPr>
          <w:bCs/>
        </w:rPr>
        <w:t>t</w:t>
      </w:r>
      <w:r w:rsidR="00D11383" w:rsidRPr="00A17BF8">
        <w:rPr>
          <w:bCs/>
        </w:rPr>
        <w:t xml:space="preserve">he Company proposes to </w:t>
      </w:r>
      <w:r w:rsidR="00D11383">
        <w:rPr>
          <w:bCs/>
        </w:rPr>
        <w:t>revert</w:t>
      </w:r>
      <w:r w:rsidR="00D11383" w:rsidRPr="00A17BF8">
        <w:rPr>
          <w:bCs/>
        </w:rPr>
        <w:t xml:space="preserve"> to similar hedging program rules that were in p</w:t>
      </w:r>
      <w:r w:rsidR="00D11383">
        <w:rPr>
          <w:bCs/>
        </w:rPr>
        <w:t>l</w:t>
      </w:r>
      <w:r w:rsidR="00D11383" w:rsidRPr="00A17BF8">
        <w:rPr>
          <w:bCs/>
        </w:rPr>
        <w:t>ace from 2007 – 2012 when the hedging program incurred $</w:t>
      </w:r>
      <w:r w:rsidR="00D11383" w:rsidRPr="00D11584">
        <w:rPr>
          <w:bCs/>
        </w:rPr>
        <w:t>527</w:t>
      </w:r>
      <w:r w:rsidR="00D11383" w:rsidRPr="00A17BF8">
        <w:rPr>
          <w:bCs/>
        </w:rPr>
        <w:t xml:space="preserve"> million of </w:t>
      </w:r>
      <w:r w:rsidR="00D11383">
        <w:rPr>
          <w:bCs/>
        </w:rPr>
        <w:t xml:space="preserve">additional </w:t>
      </w:r>
      <w:r w:rsidR="00D11383" w:rsidRPr="00A17BF8">
        <w:rPr>
          <w:bCs/>
        </w:rPr>
        <w:t xml:space="preserve">FCR </w:t>
      </w:r>
      <w:r w:rsidR="00D11383">
        <w:rPr>
          <w:bCs/>
        </w:rPr>
        <w:t>cost above the cost of the physical natural gas, which cost was borne in its entirety by the Company’s ratepa</w:t>
      </w:r>
      <w:r w:rsidR="00D11383" w:rsidRPr="00A17BF8">
        <w:rPr>
          <w:bCs/>
        </w:rPr>
        <w:t>y</w:t>
      </w:r>
      <w:r w:rsidR="00D11383">
        <w:rPr>
          <w:bCs/>
        </w:rPr>
        <w:t>er</w:t>
      </w:r>
      <w:r w:rsidR="00D11383" w:rsidRPr="00A17BF8">
        <w:rPr>
          <w:bCs/>
        </w:rPr>
        <w:t xml:space="preserve">s. </w:t>
      </w:r>
      <w:r w:rsidR="00D11383">
        <w:rPr>
          <w:bCs/>
        </w:rPr>
        <w:t xml:space="preserve">(Tr. 187) The Company proposes to revert back to those same rules when the annual volume of natural gas being burned going forward would be </w:t>
      </w:r>
      <w:r w:rsidR="00D11383" w:rsidRPr="00F10514">
        <w:rPr>
          <w:bCs/>
        </w:rPr>
        <w:t>twice</w:t>
      </w:r>
      <w:r w:rsidR="00D11383">
        <w:rPr>
          <w:bCs/>
        </w:rPr>
        <w:t xml:space="preserve"> as large as during the 2007 - 2012 period, suggesting that the potential annual cost to ratepayers from hedging program could be twice as large as experienced during the 2007 – 2012 period. (Id.)</w:t>
      </w:r>
    </w:p>
    <w:p w:rsidR="00BF7C7C" w:rsidRDefault="0024316A" w:rsidP="0024316A">
      <w:pPr>
        <w:tabs>
          <w:tab w:val="left" w:pos="-720"/>
        </w:tabs>
        <w:suppressAutoHyphens/>
        <w:spacing w:line="480" w:lineRule="atLeast"/>
        <w:jc w:val="both"/>
      </w:pPr>
      <w:r>
        <w:tab/>
        <w:t>Mr. Newsome testified that t</w:t>
      </w:r>
      <w:r w:rsidR="00BF7C7C">
        <w:t xml:space="preserve">he current structure of the hedging program has evolved over time to address certain problems that have arisen. </w:t>
      </w:r>
      <w:r>
        <w:t xml:space="preserve">(Tr. </w:t>
      </w:r>
      <w:r w:rsidR="006548E0">
        <w:t>198)</w:t>
      </w:r>
      <w:r w:rsidR="00BF7C7C">
        <w:t xml:space="preserve"> Specifically, three </w:t>
      </w:r>
      <w:r w:rsidR="006548E0">
        <w:t>structural</w:t>
      </w:r>
      <w:r w:rsidR="00BF7C7C">
        <w:t xml:space="preserve"> components were i</w:t>
      </w:r>
      <w:r w:rsidR="006548E0">
        <w:t>ncorporated into the hedging program to</w:t>
      </w:r>
      <w:r w:rsidR="00BF7C7C">
        <w:t xml:space="preserve"> address specific problems with the program</w:t>
      </w:r>
      <w:r w:rsidR="006548E0">
        <w:t>:</w:t>
      </w:r>
      <w:r w:rsidR="00BF7C7C">
        <w:t xml:space="preserve">  </w:t>
      </w:r>
      <w:r w:rsidR="006548E0">
        <w:t>an</w:t>
      </w:r>
      <w:r w:rsidR="00BF7C7C">
        <w:t xml:space="preserve"> annual dollar hard cap, </w:t>
      </w:r>
      <w:r w:rsidR="006548E0">
        <w:t xml:space="preserve">a </w:t>
      </w:r>
      <w:r w:rsidR="00BF7C7C">
        <w:t xml:space="preserve">limitation on </w:t>
      </w:r>
      <w:r w:rsidR="006548E0">
        <w:t xml:space="preserve">the </w:t>
      </w:r>
      <w:r w:rsidR="00BF7C7C">
        <w:t xml:space="preserve">financial instruments </w:t>
      </w:r>
      <w:r w:rsidR="006548E0">
        <w:t xml:space="preserve">that may be </w:t>
      </w:r>
      <w:r w:rsidR="00BF7C7C">
        <w:t xml:space="preserve">used by the </w:t>
      </w:r>
      <w:r w:rsidR="006548E0">
        <w:t>C</w:t>
      </w:r>
      <w:r w:rsidR="00BF7C7C">
        <w:t>ompany</w:t>
      </w:r>
      <w:r w:rsidR="006548E0">
        <w:t>, and</w:t>
      </w:r>
      <w:r w:rsidR="00BF7C7C">
        <w:t xml:space="preserve"> </w:t>
      </w:r>
      <w:r w:rsidR="006548E0">
        <w:t>the use of</w:t>
      </w:r>
      <w:r w:rsidR="00BF7C7C">
        <w:t xml:space="preserve"> a volume cost a</w:t>
      </w:r>
      <w:r w:rsidR="006548E0">
        <w:t>verage methodology to purchase</w:t>
      </w:r>
      <w:r w:rsidR="00BF7C7C">
        <w:t xml:space="preserve"> call options.</w:t>
      </w:r>
      <w:r w:rsidR="006548E0">
        <w:t xml:space="preserve"> (Id.) These structural components have not limited the benefit of the hedging program to ratepayers. Rather, these components have significantly limited ratepayer exposure to increased FCR revenue requirement, and should be retained in the Company’s hedging program.</w:t>
      </w:r>
    </w:p>
    <w:p w:rsidR="00BF7C7C" w:rsidRDefault="006548E0" w:rsidP="0024316A">
      <w:pPr>
        <w:tabs>
          <w:tab w:val="left" w:pos="-720"/>
        </w:tabs>
        <w:suppressAutoHyphens/>
        <w:spacing w:line="480" w:lineRule="atLeast"/>
        <w:jc w:val="both"/>
      </w:pPr>
      <w:r>
        <w:tab/>
      </w:r>
      <w:r w:rsidR="00BF7C7C">
        <w:t xml:space="preserve">The first structural component, </w:t>
      </w:r>
      <w:r w:rsidR="002E0819">
        <w:t xml:space="preserve">the </w:t>
      </w:r>
      <w:r w:rsidR="00BF7C7C">
        <w:t>annual dollar hard cap</w:t>
      </w:r>
      <w:r w:rsidR="002E0819">
        <w:t>,</w:t>
      </w:r>
      <w:r w:rsidR="00BF7C7C">
        <w:t xml:space="preserve"> was </w:t>
      </w:r>
      <w:r w:rsidR="002E0819">
        <w:t>instituted</w:t>
      </w:r>
      <w:r w:rsidR="00BF7C7C">
        <w:t xml:space="preserve"> to prevent the </w:t>
      </w:r>
      <w:r w:rsidR="002E0819">
        <w:t>C</w:t>
      </w:r>
      <w:r w:rsidR="00BF7C7C">
        <w:t xml:space="preserve">ompany from incurring </w:t>
      </w:r>
      <w:r w:rsidR="002E0819">
        <w:t xml:space="preserve">unreasonable </w:t>
      </w:r>
      <w:r w:rsidR="00BF7C7C">
        <w:t xml:space="preserve">settlement costs in future periods.  </w:t>
      </w:r>
      <w:r w:rsidR="002E0819">
        <w:t>As Mr. Newsome testified, t</w:t>
      </w:r>
      <w:r w:rsidR="00BF7C7C">
        <w:t xml:space="preserve">he </w:t>
      </w:r>
      <w:r w:rsidR="002E0819">
        <w:t>C</w:t>
      </w:r>
      <w:r w:rsidR="00BF7C7C">
        <w:t xml:space="preserve">ompany incurred settlement costs of </w:t>
      </w:r>
      <w:r w:rsidR="002E0819">
        <w:t xml:space="preserve">approximately </w:t>
      </w:r>
      <w:r w:rsidR="001A63A8">
        <w:t>$545 million</w:t>
      </w:r>
      <w:r w:rsidR="00BF7C7C">
        <w:t xml:space="preserve"> during the eight-year period, 2005 through 2012.  </w:t>
      </w:r>
      <w:r w:rsidR="002E0819">
        <w:t xml:space="preserve">(Tr. 198) </w:t>
      </w:r>
      <w:r w:rsidR="00BF7C7C">
        <w:t xml:space="preserve">The annual dollar </w:t>
      </w:r>
      <w:r w:rsidR="002E0819">
        <w:t xml:space="preserve">hard </w:t>
      </w:r>
      <w:r w:rsidR="00BF7C7C">
        <w:t xml:space="preserve">cap has </w:t>
      </w:r>
      <w:r w:rsidR="002E0819">
        <w:t>functioned</w:t>
      </w:r>
      <w:r w:rsidR="00BF7C7C">
        <w:t xml:space="preserve"> as intended</w:t>
      </w:r>
      <w:r w:rsidR="002E0819">
        <w:t>,</w:t>
      </w:r>
      <w:r w:rsidR="00BF7C7C">
        <w:t xml:space="preserve"> as settlement costs have totaled only </w:t>
      </w:r>
      <w:r w:rsidR="002E0819">
        <w:t>$</w:t>
      </w:r>
      <w:r w:rsidR="00BF7C7C">
        <w:t>62 million over the past two and a half years</w:t>
      </w:r>
      <w:r w:rsidR="002E0819">
        <w:t>. (Id.)</w:t>
      </w:r>
      <w:r w:rsidR="00BF7C7C">
        <w:t xml:space="preserve"> The annual dollar hard cap requires the </w:t>
      </w:r>
      <w:r w:rsidR="002E0819">
        <w:t>C</w:t>
      </w:r>
      <w:r w:rsidR="00BF7C7C">
        <w:t>ompany to explicitly consider the impact of its hedges on ratepayer revenue requirement and should be maintained.</w:t>
      </w:r>
    </w:p>
    <w:p w:rsidR="00622629" w:rsidRDefault="002E0819" w:rsidP="00622629">
      <w:pPr>
        <w:tabs>
          <w:tab w:val="left" w:pos="-720"/>
        </w:tabs>
        <w:suppressAutoHyphens/>
        <w:spacing w:line="480" w:lineRule="atLeast"/>
        <w:jc w:val="both"/>
      </w:pPr>
      <w:r>
        <w:tab/>
      </w:r>
      <w:r w:rsidR="00BF7C7C">
        <w:t>The second structural component</w:t>
      </w:r>
      <w:r w:rsidR="00FA1526">
        <w:t xml:space="preserve"> of the program, limiting the Company to use of</w:t>
      </w:r>
      <w:r w:rsidR="00BF7C7C">
        <w:t xml:space="preserve"> call </w:t>
      </w:r>
      <w:r w:rsidR="00BF7C7C">
        <w:lastRenderedPageBreak/>
        <w:t>options</w:t>
      </w:r>
      <w:r w:rsidR="00FA1526">
        <w:t>,</w:t>
      </w:r>
      <w:r w:rsidR="00BF7C7C">
        <w:t xml:space="preserve"> was </w:t>
      </w:r>
      <w:r w:rsidR="00FA1526">
        <w:t>instituted</w:t>
      </w:r>
      <w:r w:rsidR="00BF7C7C">
        <w:t xml:space="preserve"> for two reasons.  </w:t>
      </w:r>
      <w:r w:rsidR="00622629">
        <w:t>First,</w:t>
      </w:r>
      <w:r w:rsidR="00BF7C7C">
        <w:t xml:space="preserve"> </w:t>
      </w:r>
      <w:r w:rsidR="00622629">
        <w:t xml:space="preserve">limiting the Company to use of call options was intended to </w:t>
      </w:r>
      <w:r w:rsidR="00BF7C7C">
        <w:t xml:space="preserve">prevent the </w:t>
      </w:r>
      <w:r w:rsidR="00622629">
        <w:t>C</w:t>
      </w:r>
      <w:r w:rsidR="00BF7C7C">
        <w:t xml:space="preserve">ompany from incurring large </w:t>
      </w:r>
      <w:r w:rsidR="007F42FC">
        <w:t xml:space="preserve">and unknown </w:t>
      </w:r>
      <w:r w:rsidR="00BF7C7C">
        <w:t xml:space="preserve">settlement costs in future periods.  </w:t>
      </w:r>
      <w:r w:rsidR="00622629">
        <w:t xml:space="preserve">Mandating that the Company use only call options represents a conservative and efficient approach to protect ratepayers from high natural gas prices because call options allow the ratepayer exposure to hedging program settlement costs to be determined up front and be budgeted. (Tr. 199) </w:t>
      </w:r>
    </w:p>
    <w:p w:rsidR="005615FE" w:rsidRDefault="00622629" w:rsidP="0024316A">
      <w:pPr>
        <w:tabs>
          <w:tab w:val="left" w:pos="-720"/>
        </w:tabs>
        <w:suppressAutoHyphens/>
        <w:spacing w:line="480" w:lineRule="atLeast"/>
        <w:jc w:val="both"/>
      </w:pPr>
      <w:r>
        <w:tab/>
      </w:r>
      <w:r w:rsidR="00A90004">
        <w:t xml:space="preserve">The mandate that the Company use only call options was also implemented to </w:t>
      </w:r>
      <w:r w:rsidR="00BF7C7C">
        <w:t>protect ratepayers from high natural gas prices while allowing ratepayers to benefit if natural gas prices fall.</w:t>
      </w:r>
      <w:r w:rsidR="00A90004">
        <w:t xml:space="preserve"> As explained by Mr. Newsome, c</w:t>
      </w:r>
      <w:r w:rsidR="00BF7C7C">
        <w:t xml:space="preserve">all options function similar to traditional insurance where a premium is paid up front and the insured may received a payout or reimbursement if certain events occur. </w:t>
      </w:r>
      <w:r w:rsidR="00A90004">
        <w:t>(Id.)</w:t>
      </w:r>
      <w:r w:rsidR="00BF7C7C">
        <w:t xml:space="preserve"> The payout to a utility holding a call option occurs if the price of gas exceeds a predetermined price or strike price.  However, if the natural gas price falls below the strike price, the utility is only out the purchase price of the call option and ratepayers benefit from the decline in natural gas prices.</w:t>
      </w:r>
    </w:p>
    <w:p w:rsidR="00BF7C7C" w:rsidRDefault="005615FE" w:rsidP="0024316A">
      <w:pPr>
        <w:tabs>
          <w:tab w:val="left" w:pos="-720"/>
        </w:tabs>
        <w:suppressAutoHyphens/>
        <w:spacing w:line="480" w:lineRule="atLeast"/>
        <w:jc w:val="both"/>
      </w:pPr>
      <w:r>
        <w:tab/>
        <w:t>The Company’s request to be allowed to use swaps should be denied. Swaps provide protection against an increase in natural gas prices in the same manner as call options. However, unlike call options</w:t>
      </w:r>
      <w:r w:rsidR="001A63A8">
        <w:t>,</w:t>
      </w:r>
      <w:r>
        <w:t xml:space="preserve"> swaps eliminate the opportunity for ratepayers to benefit from lower natural gas prices. This is precisely what occurred during the period of 2005 through 2012 as the $5</w:t>
      </w:r>
      <w:r w:rsidR="001A63A8">
        <w:t>45</w:t>
      </w:r>
      <w:r>
        <w:t xml:space="preserve"> million of settlement costs were the result the Company making payments to counter parties to settle swap transaction</w:t>
      </w:r>
      <w:r w:rsidR="001A63A8">
        <w:t>s</w:t>
      </w:r>
      <w:r>
        <w:t xml:space="preserve"> as the price of </w:t>
      </w:r>
      <w:r w:rsidR="001A63A8">
        <w:t xml:space="preserve">natural </w:t>
      </w:r>
      <w:r>
        <w:t xml:space="preserve">gas </w:t>
      </w:r>
      <w:r w:rsidR="001A63A8">
        <w:t>decreased</w:t>
      </w:r>
      <w:r>
        <w:t>.</w:t>
      </w:r>
      <w:r w:rsidR="001A63A8">
        <w:t xml:space="preserve"> The ratepayer was unable to benefit from falling gas prices on the portion of natural gas </w:t>
      </w:r>
      <w:r w:rsidR="00B60E4A">
        <w:t xml:space="preserve">volume </w:t>
      </w:r>
      <w:r w:rsidR="001A63A8">
        <w:t xml:space="preserve">that had been hedged due to the use of swaps. </w:t>
      </w:r>
      <w:r w:rsidR="00BF7C7C">
        <w:t xml:space="preserve"> </w:t>
      </w:r>
    </w:p>
    <w:p w:rsidR="00BF7C7C" w:rsidRDefault="00A90004" w:rsidP="0024316A">
      <w:pPr>
        <w:tabs>
          <w:tab w:val="left" w:pos="-720"/>
        </w:tabs>
        <w:suppressAutoHyphens/>
        <w:spacing w:line="480" w:lineRule="atLeast"/>
        <w:jc w:val="both"/>
      </w:pPr>
      <w:r>
        <w:tab/>
        <w:t>Mandating that</w:t>
      </w:r>
      <w:r w:rsidR="00BF7C7C">
        <w:t xml:space="preserve"> the </w:t>
      </w:r>
      <w:r>
        <w:t>C</w:t>
      </w:r>
      <w:r w:rsidR="00BF7C7C">
        <w:t xml:space="preserve">ompany </w:t>
      </w:r>
      <w:r>
        <w:t>use</w:t>
      </w:r>
      <w:r w:rsidR="00BF7C7C">
        <w:t xml:space="preserve"> only call options represents a conservative and efficient approach</w:t>
      </w:r>
      <w:r>
        <w:t xml:space="preserve"> and</w:t>
      </w:r>
      <w:r w:rsidR="007F42FC">
        <w:t>,</w:t>
      </w:r>
      <w:r>
        <w:t xml:space="preserve"> has</w:t>
      </w:r>
      <w:r w:rsidR="00BF7C7C">
        <w:t xml:space="preserve"> protect</w:t>
      </w:r>
      <w:r>
        <w:t>ed</w:t>
      </w:r>
      <w:r w:rsidR="00BF7C7C">
        <w:t xml:space="preserve"> ratepayers from high na</w:t>
      </w:r>
      <w:r>
        <w:t>tural gas prices</w:t>
      </w:r>
      <w:r w:rsidR="00BF7C7C">
        <w:t xml:space="preserve">.  </w:t>
      </w:r>
      <w:r>
        <w:t>This particular structural component of the Company’s hedging program should be retained.</w:t>
      </w:r>
    </w:p>
    <w:p w:rsidR="00A90004" w:rsidRDefault="00A90004" w:rsidP="0024316A">
      <w:pPr>
        <w:tabs>
          <w:tab w:val="left" w:pos="-720"/>
        </w:tabs>
        <w:suppressAutoHyphens/>
        <w:spacing w:line="480" w:lineRule="atLeast"/>
        <w:jc w:val="both"/>
      </w:pPr>
    </w:p>
    <w:p w:rsidR="008D4070" w:rsidRDefault="00BF7C7C" w:rsidP="008D4070">
      <w:pPr>
        <w:tabs>
          <w:tab w:val="left" w:pos="-720"/>
        </w:tabs>
        <w:suppressAutoHyphens/>
        <w:spacing w:line="480" w:lineRule="atLeast"/>
        <w:jc w:val="both"/>
      </w:pPr>
      <w:r>
        <w:lastRenderedPageBreak/>
        <w:tab/>
        <w:t>The third structural component</w:t>
      </w:r>
      <w:r w:rsidR="008D4070">
        <w:t xml:space="preserve"> of the hedging program that should be retained</w:t>
      </w:r>
      <w:r>
        <w:t xml:space="preserve">, volume cost averaging, is a common investment technique where the purchase of an asset occurs evenly over time rather than on a completely discretionary basis.  </w:t>
      </w:r>
      <w:r w:rsidR="008D4070">
        <w:t xml:space="preserve">Volume cost averaging was instituted because it was shown to result in natural gas being hedged at lower prices rather than allowing the Company complete discretion. </w:t>
      </w:r>
      <w:r>
        <w:t xml:space="preserve">For purposes of a hedging program, volume cost averaging requires the </w:t>
      </w:r>
      <w:r w:rsidR="007F42FC">
        <w:t xml:space="preserve">Company </w:t>
      </w:r>
      <w:r>
        <w:t xml:space="preserve">to purchase a target number of call options each month.  </w:t>
      </w:r>
      <w:r w:rsidR="008D4070">
        <w:t>The use of volume cost averaging has benefited the Company’s ratepayers as natural gas has been hedged at lower prices.   This particular structural component of the Company’s hedging program should be retained.</w:t>
      </w:r>
    </w:p>
    <w:p w:rsidR="00BF7C7C" w:rsidRDefault="00BF7C7C" w:rsidP="0024316A">
      <w:pPr>
        <w:tabs>
          <w:tab w:val="left" w:pos="-720"/>
        </w:tabs>
        <w:suppressAutoHyphens/>
        <w:spacing w:line="480" w:lineRule="atLeast"/>
        <w:jc w:val="both"/>
      </w:pPr>
      <w:r>
        <w:tab/>
      </w:r>
      <w:r>
        <w:tab/>
      </w:r>
    </w:p>
    <w:p w:rsidR="008B332C" w:rsidRDefault="00624FD5" w:rsidP="008B332C">
      <w:pPr>
        <w:tabs>
          <w:tab w:val="left" w:pos="-720"/>
        </w:tabs>
        <w:suppressAutoHyphens/>
        <w:spacing w:line="480" w:lineRule="atLeast"/>
        <w:jc w:val="both"/>
      </w:pPr>
      <w:r>
        <w:tab/>
      </w:r>
      <w:r w:rsidR="008B332C">
        <w:t xml:space="preserve">As Mr. Newsome testified, while Staff is not making such a recommendation in this proceeding, there are sound reasons why the Commission might order the elimination of the Company’s hedging program. A hedging program is not necessary for a reliable and safe system, and does not impact reliable delivery of electricity to ratepayers. (Tr. 201) Furthermore, a hedging program is not necessary to address the volatility of natural gas prices. (Id.)  Any under or over collection of fuel cost or fuel balance can be deferred and </w:t>
      </w:r>
      <w:r w:rsidR="00350722">
        <w:t>re</w:t>
      </w:r>
      <w:r w:rsidR="008B332C">
        <w:t xml:space="preserve">covered over a period of time for a fraction of the cost in the hedging program.  The cost to maintain a fuel balance is an interest expense on the balance which has been under a million dollars for the past five years. (Id.) </w:t>
      </w:r>
    </w:p>
    <w:p w:rsidR="00624FD5" w:rsidRDefault="00624FD5" w:rsidP="00624FD5">
      <w:pPr>
        <w:tabs>
          <w:tab w:val="left" w:pos="-720"/>
        </w:tabs>
        <w:suppressAutoHyphens/>
        <w:spacing w:line="480" w:lineRule="atLeast"/>
        <w:jc w:val="both"/>
      </w:pPr>
      <w:r>
        <w:tab/>
        <w:t xml:space="preserve">The focus of the Company’s hedging program should be mitigation of increases in natural gas prices rather than elimination of all volatility.  The Company's focus on volatility rather than increases in natural gas prices is illustrated by their request to be allowed to utilize financial instruments called swaps.  Mr. Newsome testified that while swaps mitigate the impact of an increase in natural gas prices they also offset the impact of decreases in natural gas prices.  (Tr. 202) While the Company addressed the fact that there is no upfront cost to enter into a swap,  it neglected to address the fact that the settlement cost of swaps is not known until a transaction </w:t>
      </w:r>
      <w:r>
        <w:lastRenderedPageBreak/>
        <w:t>is settled and that the utility may be required to make a payment to the counter-party.  Such payments can be significant and were the source of the approximately $500 million settlement cost incurred during the first eight years of the hedging program.(Id.)  As discussed above, the cost of call options is known upfront and provides more certainty relative to a swap.</w:t>
      </w:r>
    </w:p>
    <w:p w:rsidR="00624FD5" w:rsidRDefault="00624FD5" w:rsidP="00624FD5">
      <w:pPr>
        <w:tabs>
          <w:tab w:val="left" w:pos="-720"/>
        </w:tabs>
        <w:suppressAutoHyphens/>
        <w:spacing w:line="480" w:lineRule="atLeast"/>
        <w:jc w:val="both"/>
      </w:pPr>
    </w:p>
    <w:p w:rsidR="00182126" w:rsidRDefault="008B332C" w:rsidP="00182126">
      <w:pPr>
        <w:tabs>
          <w:tab w:val="left" w:pos="-720"/>
        </w:tabs>
        <w:suppressAutoHyphens/>
        <w:spacing w:line="480" w:lineRule="atLeast"/>
        <w:jc w:val="both"/>
      </w:pPr>
      <w:r>
        <w:t xml:space="preserve"> </w:t>
      </w:r>
      <w:r w:rsidR="00182126">
        <w:tab/>
        <w:t xml:space="preserve">During the hearing, Mr. Newsome </w:t>
      </w:r>
      <w:r w:rsidR="00F84A5E">
        <w:t xml:space="preserve">acknowledged </w:t>
      </w:r>
      <w:r w:rsidR="00182126">
        <w:t>that other utilities</w:t>
      </w:r>
      <w:r w:rsidR="007F42FC">
        <w:t>’</w:t>
      </w:r>
      <w:r w:rsidR="00182126">
        <w:t xml:space="preserve"> hedging programs differed from the program currently being utilized by the Company. (Tr. 234) However, Mr. Newsome also testified that the Staff had not been provided information</w:t>
      </w:r>
      <w:r w:rsidR="00F84A5E">
        <w:t xml:space="preserve"> that</w:t>
      </w:r>
      <w:r w:rsidR="007F42FC">
        <w:t xml:space="preserve"> it had requested this information on several occasions</w:t>
      </w:r>
      <w:r w:rsidR="00182126">
        <w:t xml:space="preserve"> regarding the impact of those hedging programs on those other utilities, ratepayers and other revenue requirements, and that such information should be considered before the Company’s current hedging program is modified. (Id.) </w:t>
      </w:r>
    </w:p>
    <w:p w:rsidR="00F16AFD" w:rsidRDefault="00182126" w:rsidP="00564481">
      <w:pPr>
        <w:tabs>
          <w:tab w:val="left" w:pos="-720"/>
        </w:tabs>
        <w:suppressAutoHyphens/>
        <w:spacing w:line="480" w:lineRule="atLeast"/>
        <w:jc w:val="both"/>
      </w:pPr>
      <w:r>
        <w:tab/>
      </w:r>
    </w:p>
    <w:p w:rsidR="00564481" w:rsidRDefault="00564481" w:rsidP="00564481">
      <w:pPr>
        <w:tabs>
          <w:tab w:val="left" w:pos="-720"/>
        </w:tabs>
        <w:suppressAutoHyphens/>
        <w:spacing w:line="480" w:lineRule="atLeast"/>
        <w:jc w:val="both"/>
      </w:pPr>
      <w:r>
        <w:rPr>
          <w:bCs/>
        </w:rPr>
        <w:tab/>
      </w:r>
      <w:r w:rsidR="00B72F71">
        <w:rPr>
          <w:bCs/>
        </w:rPr>
        <w:t xml:space="preserve">Staff </w:t>
      </w:r>
      <w:r>
        <w:rPr>
          <w:bCs/>
        </w:rPr>
        <w:t>recognizes</w:t>
      </w:r>
      <w:r w:rsidR="00B72F71">
        <w:rPr>
          <w:bCs/>
        </w:rPr>
        <w:t xml:space="preserve"> that a well conceived and operated hedging program may benefit ratepayers by reducing the uncertainty of prospective natural gas costs. However, there is a tangible cost to hedging that significantly impacts the FCR revenue requirement and FCR rates paid by ratepayers. This cost should be taken into account when evaluating the benefit that a hedging program offers by reducing the uncertainty of prospective natural gas prices, and considering whether the current program should be modified as requested by the Company.</w:t>
      </w:r>
      <w:r>
        <w:rPr>
          <w:bCs/>
        </w:rPr>
        <w:t xml:space="preserve"> The Company’s current hedging program, as </w:t>
      </w:r>
      <w:r w:rsidR="00173F29">
        <w:rPr>
          <w:bCs/>
        </w:rPr>
        <w:t xml:space="preserve">revised and </w:t>
      </w:r>
      <w:r>
        <w:rPr>
          <w:bCs/>
        </w:rPr>
        <w:t xml:space="preserve">ordered by the Commission in 2013, </w:t>
      </w:r>
      <w:r>
        <w:t xml:space="preserve">strikes the appropriate balance between providing ratepayer protection from high natural gas prices and minimizing impact on ratepayer revenue requirement, and should not be modified. The Company’s proposed modifications to its program </w:t>
      </w:r>
      <w:r>
        <w:rPr>
          <w:bCs/>
        </w:rPr>
        <w:t xml:space="preserve">would essentially revise the program to the one </w:t>
      </w:r>
      <w:r w:rsidRPr="00A17BF8">
        <w:rPr>
          <w:bCs/>
        </w:rPr>
        <w:t>that w</w:t>
      </w:r>
      <w:r>
        <w:rPr>
          <w:bCs/>
        </w:rPr>
        <w:t>as</w:t>
      </w:r>
      <w:r w:rsidRPr="00A17BF8">
        <w:rPr>
          <w:bCs/>
        </w:rPr>
        <w:t xml:space="preserve"> in p</w:t>
      </w:r>
      <w:r>
        <w:rPr>
          <w:bCs/>
        </w:rPr>
        <w:t>l</w:t>
      </w:r>
      <w:r w:rsidRPr="00A17BF8">
        <w:rPr>
          <w:bCs/>
        </w:rPr>
        <w:t xml:space="preserve">ace from 2007 </w:t>
      </w:r>
      <w:r>
        <w:rPr>
          <w:bCs/>
        </w:rPr>
        <w:t xml:space="preserve">to </w:t>
      </w:r>
      <w:r w:rsidRPr="00A17BF8">
        <w:rPr>
          <w:bCs/>
        </w:rPr>
        <w:t>2012 when the hedging program incurred $</w:t>
      </w:r>
      <w:r w:rsidRPr="00D11584">
        <w:rPr>
          <w:bCs/>
        </w:rPr>
        <w:t>527</w:t>
      </w:r>
      <w:r w:rsidRPr="00A17BF8">
        <w:rPr>
          <w:bCs/>
        </w:rPr>
        <w:t xml:space="preserve"> million of </w:t>
      </w:r>
      <w:r>
        <w:rPr>
          <w:bCs/>
        </w:rPr>
        <w:t xml:space="preserve">additional </w:t>
      </w:r>
      <w:r w:rsidRPr="00A17BF8">
        <w:rPr>
          <w:bCs/>
        </w:rPr>
        <w:t xml:space="preserve">FCR </w:t>
      </w:r>
      <w:r>
        <w:rPr>
          <w:bCs/>
        </w:rPr>
        <w:t>cost above the cost of the physical natural gas, which cost was borne in its entirety by the Company’s ratepa</w:t>
      </w:r>
      <w:r w:rsidRPr="00A17BF8">
        <w:rPr>
          <w:bCs/>
        </w:rPr>
        <w:t>y</w:t>
      </w:r>
      <w:r>
        <w:rPr>
          <w:bCs/>
        </w:rPr>
        <w:t>er</w:t>
      </w:r>
      <w:r w:rsidRPr="00A17BF8">
        <w:rPr>
          <w:bCs/>
        </w:rPr>
        <w:t xml:space="preserve">s. </w:t>
      </w:r>
      <w:r>
        <w:rPr>
          <w:bCs/>
        </w:rPr>
        <w:t xml:space="preserve"> The Company proposes to revert back to those same rules </w:t>
      </w:r>
      <w:r w:rsidR="00173F29">
        <w:rPr>
          <w:bCs/>
        </w:rPr>
        <w:t xml:space="preserve">during a period </w:t>
      </w:r>
      <w:r>
        <w:rPr>
          <w:bCs/>
        </w:rPr>
        <w:t xml:space="preserve">when the </w:t>
      </w:r>
      <w:r w:rsidR="00173F29">
        <w:rPr>
          <w:bCs/>
        </w:rPr>
        <w:t xml:space="preserve">projected </w:t>
      </w:r>
      <w:r>
        <w:rPr>
          <w:bCs/>
        </w:rPr>
        <w:t xml:space="preserve">annual volume of natural gas being burned would be </w:t>
      </w:r>
      <w:r w:rsidRPr="00F10514">
        <w:rPr>
          <w:bCs/>
        </w:rPr>
        <w:t>twice</w:t>
      </w:r>
      <w:r>
        <w:rPr>
          <w:bCs/>
        </w:rPr>
        <w:t xml:space="preserve"> as </w:t>
      </w:r>
      <w:r>
        <w:rPr>
          <w:bCs/>
        </w:rPr>
        <w:lastRenderedPageBreak/>
        <w:t xml:space="preserve">large as during the 2007 - 2012 period, suggesting that the potential annual cost to ratepayers from </w:t>
      </w:r>
      <w:r w:rsidR="00173F29">
        <w:rPr>
          <w:bCs/>
        </w:rPr>
        <w:t xml:space="preserve">a </w:t>
      </w:r>
      <w:r>
        <w:rPr>
          <w:bCs/>
        </w:rPr>
        <w:t xml:space="preserve">hedging program could be twice as large as </w:t>
      </w:r>
      <w:r w:rsidR="00173F29">
        <w:rPr>
          <w:bCs/>
        </w:rPr>
        <w:t xml:space="preserve">that </w:t>
      </w:r>
      <w:r>
        <w:rPr>
          <w:bCs/>
        </w:rPr>
        <w:t>experienced during the 2007 – 2012 period. The Commission should adopt Staff’s reasoned and conservative recommendation that the Company’s hedging program be retained in its current form</w:t>
      </w:r>
      <w:r w:rsidR="00173F29">
        <w:rPr>
          <w:bCs/>
        </w:rPr>
        <w:t>.</w:t>
      </w:r>
    </w:p>
    <w:p w:rsidR="00564481" w:rsidRDefault="00564481" w:rsidP="00564481">
      <w:pPr>
        <w:tabs>
          <w:tab w:val="left" w:pos="-720"/>
        </w:tabs>
        <w:suppressAutoHyphens/>
        <w:spacing w:line="480" w:lineRule="atLeast"/>
        <w:jc w:val="both"/>
      </w:pPr>
    </w:p>
    <w:p w:rsidR="00B72F71" w:rsidRDefault="00B72F71" w:rsidP="00B72F71">
      <w:pPr>
        <w:spacing w:line="480" w:lineRule="auto"/>
        <w:ind w:firstLine="720"/>
        <w:jc w:val="both"/>
        <w:rPr>
          <w:bCs/>
        </w:rPr>
      </w:pPr>
    </w:p>
    <w:p w:rsidR="009A22EF" w:rsidRDefault="009A22EF" w:rsidP="009A22EF">
      <w:pPr>
        <w:widowControl/>
        <w:overflowPunct/>
        <w:spacing w:line="480" w:lineRule="auto"/>
        <w:ind w:firstLine="720"/>
        <w:jc w:val="both"/>
        <w:textAlignment w:val="auto"/>
      </w:pPr>
    </w:p>
    <w:p w:rsidR="005B6968" w:rsidRDefault="005B6968" w:rsidP="005B6968">
      <w:pPr>
        <w:spacing w:line="480" w:lineRule="auto"/>
        <w:ind w:firstLine="720"/>
        <w:jc w:val="both"/>
      </w:pPr>
    </w:p>
    <w:p w:rsidR="00564481" w:rsidRDefault="00564481" w:rsidP="005B6968">
      <w:pPr>
        <w:spacing w:line="480" w:lineRule="auto"/>
        <w:ind w:firstLine="720"/>
        <w:jc w:val="both"/>
      </w:pPr>
    </w:p>
    <w:p w:rsidR="00564481" w:rsidRDefault="00564481" w:rsidP="005B6968">
      <w:pPr>
        <w:spacing w:line="480" w:lineRule="auto"/>
        <w:ind w:firstLine="720"/>
        <w:jc w:val="both"/>
      </w:pPr>
    </w:p>
    <w:p w:rsidR="00B61BDD" w:rsidRPr="00124564" w:rsidRDefault="005635D2" w:rsidP="005635D2">
      <w:pPr>
        <w:pStyle w:val="OutlineL1"/>
        <w:numPr>
          <w:ilvl w:val="0"/>
          <w:numId w:val="0"/>
        </w:numPr>
        <w:jc w:val="center"/>
        <w:rPr>
          <w:rFonts w:cs="Times New Roman"/>
          <w:b/>
          <w:u w:val="single"/>
        </w:rPr>
      </w:pPr>
      <w:r>
        <w:rPr>
          <w:rFonts w:cs="Times New Roman"/>
          <w:b/>
          <w:u w:val="single"/>
        </w:rPr>
        <w:t>IV.</w:t>
      </w:r>
      <w:r w:rsidR="00B61BDD" w:rsidRPr="00124564">
        <w:rPr>
          <w:rFonts w:cs="Times New Roman"/>
          <w:b/>
          <w:u w:val="single"/>
        </w:rPr>
        <w:t>CONCLUSION</w:t>
      </w:r>
    </w:p>
    <w:p w:rsidR="00B61BDD" w:rsidRDefault="00B61BDD" w:rsidP="00B61BDD">
      <w:pPr>
        <w:widowControl/>
        <w:spacing w:line="480" w:lineRule="auto"/>
        <w:jc w:val="both"/>
      </w:pPr>
      <w:r w:rsidRPr="00B41116">
        <w:tab/>
        <w:t xml:space="preserve">For </w:t>
      </w:r>
      <w:r w:rsidR="005635D2">
        <w:t>the</w:t>
      </w:r>
      <w:r w:rsidRPr="00B41116">
        <w:t xml:space="preserve"> reasons</w:t>
      </w:r>
      <w:r w:rsidR="005635D2">
        <w:t xml:space="preserve"> set forth above</w:t>
      </w:r>
      <w:r w:rsidRPr="00B41116">
        <w:t xml:space="preserve">, the Commission should approve </w:t>
      </w:r>
      <w:r w:rsidR="005635D2">
        <w:t>the Company’s</w:t>
      </w:r>
      <w:r w:rsidRPr="00B41116">
        <w:t xml:space="preserve"> </w:t>
      </w:r>
      <w:r w:rsidR="005635D2" w:rsidRPr="00B41116">
        <w:t xml:space="preserve">Fuel Cost Recovery </w:t>
      </w:r>
      <w:r w:rsidR="007F42FC">
        <w:t xml:space="preserve">(FCR-24) </w:t>
      </w:r>
      <w:r w:rsidRPr="00B41116">
        <w:t>Application</w:t>
      </w:r>
      <w:r w:rsidR="00577657">
        <w:t>,</w:t>
      </w:r>
      <w:r w:rsidRPr="00B41116">
        <w:t xml:space="preserve"> </w:t>
      </w:r>
      <w:r>
        <w:t xml:space="preserve">as </w:t>
      </w:r>
      <w:r w:rsidR="005635D2">
        <w:t>modified by the Stipulation</w:t>
      </w:r>
      <w:r w:rsidR="00157CA5">
        <w:t xml:space="preserve">, and </w:t>
      </w:r>
      <w:r w:rsidR="00B72F71">
        <w:t xml:space="preserve">deny the Company’s request that its natural gas hedging program be modified. </w:t>
      </w:r>
      <w:r>
        <w:t xml:space="preserve">  </w:t>
      </w:r>
    </w:p>
    <w:p w:rsidR="00B61BDD" w:rsidRDefault="00B61BDD" w:rsidP="00B61BDD">
      <w:pPr>
        <w:pStyle w:val="BodyTextIndent3"/>
        <w:widowControl/>
        <w:ind w:left="0" w:firstLine="0"/>
        <w:jc w:val="both"/>
      </w:pPr>
      <w:r w:rsidRPr="00B41116">
        <w:tab/>
        <w:t xml:space="preserve">Respectfully submitted this </w:t>
      </w:r>
      <w:r>
        <w:t>1</w:t>
      </w:r>
      <w:r w:rsidR="009A71C8">
        <w:t>0th day of December, 2015</w:t>
      </w:r>
      <w:r w:rsidRPr="00B41116">
        <w:t>.</w:t>
      </w:r>
    </w:p>
    <w:p w:rsidR="007A18CB" w:rsidRDefault="007A18CB" w:rsidP="00B61BDD">
      <w:pPr>
        <w:pStyle w:val="BodyTextIndent3"/>
        <w:widowControl/>
        <w:ind w:left="0" w:firstLine="0"/>
        <w:jc w:val="both"/>
      </w:pPr>
    </w:p>
    <w:p w:rsidR="007A18CB" w:rsidRDefault="007A18CB" w:rsidP="00B61BDD">
      <w:pPr>
        <w:pStyle w:val="BodyTextIndent3"/>
        <w:widowControl/>
        <w:ind w:left="0" w:firstLine="0"/>
        <w:jc w:val="both"/>
      </w:pPr>
    </w:p>
    <w:p w:rsidR="007A18CB" w:rsidRDefault="007A18CB" w:rsidP="00B61BDD">
      <w:pPr>
        <w:pStyle w:val="BodyTextIndent3"/>
        <w:widowControl/>
        <w:ind w:left="0" w:firstLine="0"/>
        <w:jc w:val="both"/>
      </w:pPr>
    </w:p>
    <w:p w:rsidR="007A18CB" w:rsidRDefault="007A18CB" w:rsidP="00B61BDD">
      <w:pPr>
        <w:pStyle w:val="BodyTextIndent3"/>
        <w:widowControl/>
        <w:ind w:left="0" w:firstLine="0"/>
        <w:jc w:val="both"/>
      </w:pPr>
    </w:p>
    <w:p w:rsidR="007A18CB" w:rsidRDefault="007A18CB" w:rsidP="00B61BDD">
      <w:pPr>
        <w:pStyle w:val="BodyTextIndent3"/>
        <w:widowControl/>
        <w:ind w:left="0" w:firstLine="0"/>
        <w:jc w:val="both"/>
      </w:pPr>
    </w:p>
    <w:p w:rsidR="007A18CB" w:rsidRDefault="007A18CB" w:rsidP="00B61BDD">
      <w:pPr>
        <w:pStyle w:val="BodyTextIndent3"/>
        <w:widowControl/>
        <w:ind w:left="0" w:firstLine="0"/>
        <w:jc w:val="both"/>
      </w:pPr>
    </w:p>
    <w:p w:rsidR="007A18CB" w:rsidRDefault="007A18CB" w:rsidP="00B61BDD">
      <w:pPr>
        <w:pStyle w:val="BodyTextIndent3"/>
        <w:widowControl/>
        <w:ind w:left="0" w:firstLine="0"/>
        <w:jc w:val="both"/>
      </w:pPr>
    </w:p>
    <w:p w:rsidR="007A18CB" w:rsidRDefault="007A18CB" w:rsidP="00B61BDD">
      <w:pPr>
        <w:pStyle w:val="BodyTextIndent3"/>
        <w:widowControl/>
        <w:ind w:left="0" w:firstLine="0"/>
        <w:jc w:val="both"/>
      </w:pPr>
      <w:r>
        <w:tab/>
      </w:r>
      <w:r>
        <w:tab/>
      </w:r>
      <w:r>
        <w:tab/>
      </w:r>
      <w:r>
        <w:tab/>
      </w:r>
      <w:r>
        <w:tab/>
      </w:r>
      <w:r>
        <w:tab/>
      </w:r>
      <w:r>
        <w:tab/>
      </w:r>
      <w:r>
        <w:tab/>
        <w:t>____________________________</w:t>
      </w:r>
      <w:r>
        <w:tab/>
      </w:r>
    </w:p>
    <w:p w:rsidR="007A18CB" w:rsidRDefault="007A18CB" w:rsidP="007A18CB">
      <w:pPr>
        <w:jc w:val="both"/>
        <w:rPr>
          <w:rFonts w:cs="Times New Roman"/>
          <w:color w:val="333333"/>
        </w:rPr>
      </w:pPr>
      <w:r>
        <w:tab/>
      </w:r>
      <w:r>
        <w:tab/>
      </w:r>
      <w:r>
        <w:tab/>
      </w:r>
      <w:r>
        <w:tab/>
      </w:r>
      <w:r>
        <w:tab/>
      </w:r>
      <w:r>
        <w:tab/>
      </w:r>
      <w:r>
        <w:tab/>
      </w:r>
      <w:r>
        <w:tab/>
      </w:r>
      <w:r>
        <w:rPr>
          <w:rFonts w:cs="Times New Roman"/>
          <w:color w:val="333333"/>
        </w:rPr>
        <w:t>Jeffrey Stair</w:t>
      </w:r>
    </w:p>
    <w:p w:rsidR="007A18CB" w:rsidRDefault="007A18CB" w:rsidP="007A18CB">
      <w:pPr>
        <w:jc w:val="both"/>
        <w:rPr>
          <w:rFonts w:cs="Times New Roman"/>
          <w:color w:val="333333"/>
        </w:rPr>
      </w:pPr>
      <w:r>
        <w:rPr>
          <w:rFonts w:cs="Times New Roman"/>
          <w:color w:val="333333"/>
        </w:rPr>
        <w:tab/>
      </w:r>
      <w:r>
        <w:rPr>
          <w:rFonts w:cs="Times New Roman"/>
          <w:color w:val="333333"/>
        </w:rPr>
        <w:tab/>
      </w:r>
      <w:r>
        <w:rPr>
          <w:rFonts w:cs="Times New Roman"/>
          <w:color w:val="333333"/>
        </w:rPr>
        <w:tab/>
      </w:r>
      <w:r>
        <w:rPr>
          <w:rFonts w:cs="Times New Roman"/>
          <w:color w:val="333333"/>
        </w:rPr>
        <w:tab/>
      </w:r>
      <w:r>
        <w:rPr>
          <w:rFonts w:cs="Times New Roman"/>
          <w:color w:val="333333"/>
        </w:rPr>
        <w:tab/>
      </w:r>
      <w:r>
        <w:rPr>
          <w:rFonts w:cs="Times New Roman"/>
          <w:color w:val="333333"/>
        </w:rPr>
        <w:tab/>
      </w:r>
      <w:r>
        <w:rPr>
          <w:rFonts w:cs="Times New Roman"/>
          <w:color w:val="333333"/>
        </w:rPr>
        <w:tab/>
      </w:r>
      <w:r>
        <w:rPr>
          <w:rFonts w:cs="Times New Roman"/>
          <w:color w:val="333333"/>
        </w:rPr>
        <w:tab/>
        <w:t>Staff Attorney</w:t>
      </w:r>
    </w:p>
    <w:p w:rsidR="007A18CB" w:rsidRDefault="007A18CB" w:rsidP="007A18CB">
      <w:pPr>
        <w:jc w:val="both"/>
        <w:rPr>
          <w:rFonts w:cs="Times New Roman"/>
          <w:color w:val="333333"/>
        </w:rPr>
      </w:pPr>
      <w:r>
        <w:rPr>
          <w:rFonts w:cs="Times New Roman"/>
          <w:color w:val="333333"/>
        </w:rPr>
        <w:t xml:space="preserve">Georgia Public Service Commission </w:t>
      </w:r>
    </w:p>
    <w:p w:rsidR="007A18CB" w:rsidRDefault="007A18CB" w:rsidP="007A18CB">
      <w:pPr>
        <w:jc w:val="both"/>
        <w:rPr>
          <w:rFonts w:cs="Times New Roman"/>
          <w:color w:val="333333"/>
        </w:rPr>
      </w:pPr>
      <w:r>
        <w:rPr>
          <w:rFonts w:cs="Times New Roman"/>
          <w:color w:val="333333"/>
        </w:rPr>
        <w:t>244 Washington Street, SW</w:t>
      </w:r>
    </w:p>
    <w:p w:rsidR="007A18CB" w:rsidRDefault="007A18CB" w:rsidP="007A18CB">
      <w:pPr>
        <w:jc w:val="both"/>
        <w:rPr>
          <w:rFonts w:cs="Times New Roman"/>
          <w:color w:val="333333"/>
        </w:rPr>
      </w:pPr>
      <w:r>
        <w:rPr>
          <w:rFonts w:cs="Times New Roman"/>
          <w:color w:val="333333"/>
        </w:rPr>
        <w:t>Atlanta, Georgia 30334</w:t>
      </w:r>
    </w:p>
    <w:p w:rsidR="00B61BDD" w:rsidRDefault="00B61BDD" w:rsidP="007A18CB">
      <w:pPr>
        <w:pStyle w:val="BodyTextIndent3"/>
        <w:widowControl/>
        <w:ind w:left="0" w:firstLine="0"/>
        <w:jc w:val="both"/>
      </w:pPr>
    </w:p>
    <w:p w:rsidR="00B61BDD" w:rsidRPr="00B41116" w:rsidRDefault="00B61BDD" w:rsidP="00B61BDD">
      <w:pPr>
        <w:pStyle w:val="BodyTextIndent3"/>
        <w:widowControl/>
        <w:ind w:left="0" w:firstLine="0"/>
        <w:jc w:val="both"/>
      </w:pPr>
    </w:p>
    <w:sectPr w:rsidR="00B61BDD" w:rsidRPr="00B41116" w:rsidSect="00986B05">
      <w:footerReference w:type="even" r:id="rId8"/>
      <w:footerReference w:type="default" r:id="rId9"/>
      <w:footerReference w:type="first" r:id="rId10"/>
      <w:pgSz w:w="12240" w:h="15840"/>
      <w:pgMar w:top="1440" w:right="1440" w:bottom="1440" w:left="144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A9C" w:rsidRDefault="00B91A9C" w:rsidP="000C4B4F">
      <w:r>
        <w:separator/>
      </w:r>
    </w:p>
  </w:endnote>
  <w:endnote w:type="continuationSeparator" w:id="0">
    <w:p w:rsidR="00B91A9C" w:rsidRDefault="00B91A9C" w:rsidP="000C4B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1C8" w:rsidRDefault="0061311C" w:rsidP="00986B05">
    <w:pPr>
      <w:pStyle w:val="Footer"/>
      <w:framePr w:wrap="around" w:vAnchor="text" w:hAnchor="margin" w:xAlign="center" w:y="1"/>
      <w:rPr>
        <w:rStyle w:val="PageNumber"/>
      </w:rPr>
    </w:pPr>
    <w:r>
      <w:rPr>
        <w:rStyle w:val="PageNumber"/>
      </w:rPr>
      <w:fldChar w:fldCharType="begin"/>
    </w:r>
    <w:r w:rsidR="009A71C8">
      <w:rPr>
        <w:rStyle w:val="PageNumber"/>
      </w:rPr>
      <w:instrText xml:space="preserve">PAGE  </w:instrText>
    </w:r>
    <w:r>
      <w:rPr>
        <w:rStyle w:val="PageNumber"/>
      </w:rPr>
      <w:fldChar w:fldCharType="end"/>
    </w:r>
  </w:p>
  <w:p w:rsidR="009A71C8" w:rsidRDefault="009A71C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1C8" w:rsidRDefault="009A71C8" w:rsidP="00986B05">
    <w:pPr>
      <w:pStyle w:val="Footer"/>
      <w:jc w:val="center"/>
      <w:rPr>
        <w:sz w:val="20"/>
      </w:rPr>
    </w:pPr>
  </w:p>
  <w:p w:rsidR="009A71C8" w:rsidRDefault="009A71C8" w:rsidP="00986B05">
    <w:pPr>
      <w:pStyle w:val="Footer"/>
      <w:framePr w:wrap="auto" w:vAnchor="text" w:hAnchor="page" w:x="5941" w:y="231"/>
    </w:pPr>
  </w:p>
  <w:p w:rsidR="009A71C8" w:rsidRPr="00E578E0" w:rsidRDefault="009A71C8" w:rsidP="00986B05">
    <w:pPr>
      <w:jc w:val="center"/>
    </w:pPr>
    <w:r w:rsidRPr="00E578E0">
      <w:t xml:space="preserve">Brief </w:t>
    </w:r>
  </w:p>
  <w:p w:rsidR="009A71C8" w:rsidRPr="00E578E0" w:rsidRDefault="009A71C8" w:rsidP="00986B05">
    <w:pPr>
      <w:jc w:val="center"/>
      <w:rPr>
        <w:lang w:val="pl-PL"/>
      </w:rPr>
    </w:pPr>
    <w:r w:rsidRPr="00E578E0">
      <w:rPr>
        <w:lang w:val="pl-PL"/>
      </w:rPr>
      <w:t xml:space="preserve">Docket No. </w:t>
    </w:r>
    <w:r>
      <w:rPr>
        <w:lang w:val="pl-PL"/>
      </w:rPr>
      <w:t>39638</w:t>
    </w:r>
  </w:p>
  <w:p w:rsidR="009A71C8" w:rsidRPr="00CE45BD" w:rsidRDefault="009A71C8" w:rsidP="00986B05">
    <w:pPr>
      <w:jc w:val="center"/>
    </w:pPr>
    <w:r>
      <w:t xml:space="preserve">Page </w:t>
    </w:r>
    <w:r w:rsidR="0061311C">
      <w:fldChar w:fldCharType="begin"/>
    </w:r>
    <w:r>
      <w:instrText xml:space="preserve"> PAGE </w:instrText>
    </w:r>
    <w:r w:rsidR="0061311C">
      <w:fldChar w:fldCharType="separate"/>
    </w:r>
    <w:r w:rsidR="00350722">
      <w:rPr>
        <w:noProof/>
      </w:rPr>
      <w:t>10</w:t>
    </w:r>
    <w:r w:rsidR="0061311C">
      <w:fldChar w:fldCharType="end"/>
    </w:r>
    <w:r>
      <w:t xml:space="preserve"> of </w:t>
    </w:r>
    <w:r w:rsidR="00564481">
      <w:t>12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1C8" w:rsidRPr="00E578E0" w:rsidRDefault="009A71C8" w:rsidP="00986B05">
    <w:pPr>
      <w:jc w:val="center"/>
    </w:pPr>
    <w:r w:rsidRPr="00E578E0">
      <w:t xml:space="preserve">Brief </w:t>
    </w:r>
  </w:p>
  <w:p w:rsidR="009A71C8" w:rsidRPr="00CE45BD" w:rsidRDefault="009A71C8" w:rsidP="00986B05">
    <w:pPr>
      <w:jc w:val="center"/>
    </w:pPr>
    <w:r w:rsidRPr="00CE45BD">
      <w:t xml:space="preserve">Docket No. </w:t>
    </w:r>
    <w:r w:rsidR="00173F29">
      <w:t>36938</w:t>
    </w:r>
  </w:p>
  <w:p w:rsidR="009A71C8" w:rsidRPr="00CE45BD" w:rsidRDefault="009A71C8" w:rsidP="00986B05">
    <w:pPr>
      <w:jc w:val="center"/>
    </w:pPr>
    <w:r>
      <w:t xml:space="preserve">Page </w:t>
    </w:r>
    <w:r w:rsidR="0061311C">
      <w:fldChar w:fldCharType="begin"/>
    </w:r>
    <w:r>
      <w:instrText xml:space="preserve"> PAGE </w:instrText>
    </w:r>
    <w:r w:rsidR="0061311C">
      <w:fldChar w:fldCharType="separate"/>
    </w:r>
    <w:r w:rsidR="00350722">
      <w:rPr>
        <w:noProof/>
      </w:rPr>
      <w:t>1</w:t>
    </w:r>
    <w:r w:rsidR="0061311C">
      <w:fldChar w:fldCharType="end"/>
    </w:r>
    <w:r>
      <w:t xml:space="preserve"> of </w:t>
    </w:r>
    <w:r w:rsidR="00173F29">
      <w:t>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A9C" w:rsidRDefault="00B91A9C" w:rsidP="000C4B4F">
      <w:r>
        <w:separator/>
      </w:r>
    </w:p>
  </w:footnote>
  <w:footnote w:type="continuationSeparator" w:id="0">
    <w:p w:rsidR="00B91A9C" w:rsidRDefault="00B91A9C" w:rsidP="000C4B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1F06A3"/>
    <w:multiLevelType w:val="hybridMultilevel"/>
    <w:tmpl w:val="C97E64E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E604BCD"/>
    <w:multiLevelType w:val="hybridMultilevel"/>
    <w:tmpl w:val="95602EDE"/>
    <w:lvl w:ilvl="0" w:tplc="FFFFFFFF">
      <w:start w:val="1"/>
      <w:numFmt w:val="decimal"/>
      <w:lvlText w:val="%1."/>
      <w:lvlJc w:val="left"/>
      <w:pPr>
        <w:tabs>
          <w:tab w:val="num" w:pos="1440"/>
        </w:tabs>
        <w:ind w:left="1440" w:hanging="720"/>
      </w:pPr>
      <w:rPr>
        <w:rFonts w:hint="default"/>
      </w:rPr>
    </w:lvl>
    <w:lvl w:ilvl="1" w:tplc="FFFFFFFF">
      <w:start w:val="17"/>
      <w:numFmt w:val="upperLetter"/>
      <w:lvlText w:val="%2."/>
      <w:lvlJc w:val="left"/>
      <w:pPr>
        <w:tabs>
          <w:tab w:val="num" w:pos="2160"/>
        </w:tabs>
        <w:ind w:left="2160" w:hanging="720"/>
      </w:pPr>
      <w:rPr>
        <w:rFonts w:hint="default"/>
      </w:rPr>
    </w:lvl>
    <w:lvl w:ilvl="2" w:tplc="FFFFFFFF">
      <w:start w:val="17"/>
      <w:numFmt w:val="lowerLetter"/>
      <w:lvlText w:val="%3."/>
      <w:lvlJc w:val="left"/>
      <w:pPr>
        <w:tabs>
          <w:tab w:val="num" w:pos="2700"/>
        </w:tabs>
        <w:ind w:left="2700" w:hanging="360"/>
      </w:pPr>
      <w:rPr>
        <w:rFonts w:hint="default"/>
      </w:rPr>
    </w:lvl>
    <w:lvl w:ilvl="3" w:tplc="FFFFFFFF">
      <w:start w:val="6"/>
      <w:numFmt w:val="upperRoman"/>
      <w:lvlText w:val="%4."/>
      <w:lvlJc w:val="left"/>
      <w:pPr>
        <w:tabs>
          <w:tab w:val="num" w:pos="3600"/>
        </w:tabs>
        <w:ind w:left="3600" w:hanging="720"/>
      </w:pPr>
      <w:rPr>
        <w:rFonts w:hint="default"/>
      </w:r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
    <w:nsid w:val="6801336B"/>
    <w:multiLevelType w:val="singleLevel"/>
    <w:tmpl w:val="3F10B13E"/>
    <w:lvl w:ilvl="0">
      <w:start w:val="17"/>
      <w:numFmt w:val="upperLetter"/>
      <w:pStyle w:val="Heading1"/>
      <w:lvlText w:val="%1."/>
      <w:lvlJc w:val="left"/>
      <w:pPr>
        <w:tabs>
          <w:tab w:val="num" w:pos="720"/>
        </w:tabs>
        <w:ind w:left="720" w:hanging="720"/>
      </w:pPr>
      <w:rPr>
        <w:rFonts w:cs="Times New Roman" w:hint="default"/>
      </w:rPr>
    </w:lvl>
  </w:abstractNum>
  <w:abstractNum w:abstractNumId="3">
    <w:nsid w:val="6E2D0D93"/>
    <w:multiLevelType w:val="multilevel"/>
    <w:tmpl w:val="AE463D88"/>
    <w:name w:val="zzmpOutline||Outline|2|3|1|1|12|9||1|12|1||1|12|1||1|12|1||1|12|0||1|12|0||1|12|0||1|12|0||1|12|0||"/>
    <w:lvl w:ilvl="0">
      <w:start w:val="1"/>
      <w:numFmt w:val="upperRoman"/>
      <w:pStyle w:val="OutlineL1"/>
      <w:lvlText w:val="%1."/>
      <w:lvlJc w:val="left"/>
      <w:pPr>
        <w:tabs>
          <w:tab w:val="num" w:pos="720"/>
        </w:tabs>
        <w:ind w:left="0" w:firstLine="0"/>
      </w:pPr>
      <w:rPr>
        <w:b/>
        <w:i w:val="0"/>
        <w:caps/>
        <w:smallCaps w:val="0"/>
        <w:u w:val="none"/>
      </w:rPr>
    </w:lvl>
    <w:lvl w:ilvl="1">
      <w:start w:val="1"/>
      <w:numFmt w:val="upperLetter"/>
      <w:pStyle w:val="OutlineL2"/>
      <w:lvlText w:val="%2."/>
      <w:lvlJc w:val="left"/>
      <w:pPr>
        <w:tabs>
          <w:tab w:val="num" w:pos="1440"/>
        </w:tabs>
        <w:ind w:left="0" w:firstLine="720"/>
      </w:pPr>
      <w:rPr>
        <w:rFonts w:ascii="Times New Roman" w:hAnsi="Times New Roman" w:cs="Times New Roman" w:hint="default"/>
        <w:b/>
        <w:i w:val="0"/>
        <w:caps w:val="0"/>
        <w:smallCaps w:val="0"/>
        <w:u w:val="none"/>
      </w:rPr>
    </w:lvl>
    <w:lvl w:ilvl="2">
      <w:start w:val="1"/>
      <w:numFmt w:val="decimal"/>
      <w:pStyle w:val="OutlineL3"/>
      <w:lvlText w:val="%3."/>
      <w:lvlJc w:val="left"/>
      <w:pPr>
        <w:tabs>
          <w:tab w:val="num" w:pos="2160"/>
        </w:tabs>
        <w:ind w:left="0" w:firstLine="1440"/>
      </w:pPr>
      <w:rPr>
        <w:b w:val="0"/>
        <w:i w:val="0"/>
        <w:caps w:val="0"/>
        <w:smallCaps w:val="0"/>
        <w:u w:val="none"/>
      </w:rPr>
    </w:lvl>
    <w:lvl w:ilvl="3">
      <w:start w:val="1"/>
      <w:numFmt w:val="lowerLetter"/>
      <w:pStyle w:val="OutlineL4"/>
      <w:lvlText w:val="%4."/>
      <w:lvlJc w:val="left"/>
      <w:pPr>
        <w:tabs>
          <w:tab w:val="num" w:pos="2880"/>
        </w:tabs>
        <w:ind w:left="0" w:firstLine="2160"/>
      </w:pPr>
      <w:rPr>
        <w:b w:val="0"/>
        <w:i w:val="0"/>
        <w:caps w:val="0"/>
        <w:smallCaps w:val="0"/>
        <w:u w:val="none"/>
      </w:rPr>
    </w:lvl>
    <w:lvl w:ilvl="4">
      <w:start w:val="1"/>
      <w:numFmt w:val="lowerRoman"/>
      <w:pStyle w:val="OutlineL5"/>
      <w:lvlText w:val="(%5)"/>
      <w:lvlJc w:val="left"/>
      <w:pPr>
        <w:tabs>
          <w:tab w:val="num" w:pos="3600"/>
        </w:tabs>
        <w:ind w:left="0" w:firstLine="2880"/>
      </w:pPr>
      <w:rPr>
        <w:b w:val="0"/>
        <w:i w:val="0"/>
        <w:caps w:val="0"/>
        <w:smallCaps w:val="0"/>
        <w:u w:val="none"/>
      </w:rPr>
    </w:lvl>
    <w:lvl w:ilvl="5">
      <w:start w:val="1"/>
      <w:numFmt w:val="lowerLetter"/>
      <w:pStyle w:val="OutlineL6"/>
      <w:lvlText w:val="(%6)"/>
      <w:lvlJc w:val="left"/>
      <w:pPr>
        <w:tabs>
          <w:tab w:val="num" w:pos="4320"/>
        </w:tabs>
        <w:ind w:left="0" w:firstLine="3600"/>
      </w:pPr>
      <w:rPr>
        <w:b w:val="0"/>
        <w:i w:val="0"/>
        <w:caps w:val="0"/>
        <w:smallCaps w:val="0"/>
        <w:u w:val="none"/>
      </w:rPr>
    </w:lvl>
    <w:lvl w:ilvl="6">
      <w:start w:val="1"/>
      <w:numFmt w:val="decimal"/>
      <w:pStyle w:val="OutlineL7"/>
      <w:lvlText w:val="(%7)"/>
      <w:lvlJc w:val="left"/>
      <w:pPr>
        <w:tabs>
          <w:tab w:val="num" w:pos="5040"/>
        </w:tabs>
        <w:ind w:left="0" w:firstLine="4320"/>
      </w:pPr>
      <w:rPr>
        <w:b w:val="0"/>
        <w:i w:val="0"/>
        <w:caps w:val="0"/>
        <w:smallCaps w:val="0"/>
        <w:u w:val="none"/>
      </w:rPr>
    </w:lvl>
    <w:lvl w:ilvl="7">
      <w:start w:val="1"/>
      <w:numFmt w:val="lowerRoman"/>
      <w:pStyle w:val="OutlineL8"/>
      <w:lvlText w:val="%8)"/>
      <w:lvlJc w:val="left"/>
      <w:pPr>
        <w:tabs>
          <w:tab w:val="num" w:pos="5760"/>
        </w:tabs>
        <w:ind w:left="0" w:firstLine="5040"/>
      </w:pPr>
      <w:rPr>
        <w:b w:val="0"/>
        <w:i w:val="0"/>
        <w:caps w:val="0"/>
        <w:smallCaps w:val="0"/>
        <w:u w:val="none"/>
      </w:rPr>
    </w:lvl>
    <w:lvl w:ilvl="8">
      <w:start w:val="1"/>
      <w:numFmt w:val="lowerLetter"/>
      <w:pStyle w:val="OutlineL9"/>
      <w:lvlText w:val="%9)"/>
      <w:lvlJc w:val="left"/>
      <w:pPr>
        <w:tabs>
          <w:tab w:val="num" w:pos="6480"/>
        </w:tabs>
        <w:ind w:left="0" w:firstLine="5760"/>
      </w:pPr>
      <w:rPr>
        <w:b w:val="0"/>
        <w:i w:val="0"/>
        <w:caps w:val="0"/>
        <w:smallCaps w:val="0"/>
        <w:u w:val="none"/>
      </w:rPr>
    </w:lvl>
  </w:abstractNum>
  <w:num w:numId="1">
    <w:abstractNumId w:val="3"/>
  </w:num>
  <w:num w:numId="2">
    <w:abstractNumId w:val="3"/>
    <w:lvlOverride w:ilvl="0">
      <w:startOverride w:val="100"/>
    </w:lvlOverride>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trackRevisions/>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61BDD"/>
    <w:rsid w:val="00012BF1"/>
    <w:rsid w:val="00015B8A"/>
    <w:rsid w:val="00062AC3"/>
    <w:rsid w:val="000639AA"/>
    <w:rsid w:val="00064BC6"/>
    <w:rsid w:val="00072206"/>
    <w:rsid w:val="0007406E"/>
    <w:rsid w:val="00092C91"/>
    <w:rsid w:val="000C4B4F"/>
    <w:rsid w:val="00107004"/>
    <w:rsid w:val="00115E6C"/>
    <w:rsid w:val="00126BD4"/>
    <w:rsid w:val="00133440"/>
    <w:rsid w:val="00140113"/>
    <w:rsid w:val="00157CA5"/>
    <w:rsid w:val="00173F29"/>
    <w:rsid w:val="00182126"/>
    <w:rsid w:val="00184588"/>
    <w:rsid w:val="00192D58"/>
    <w:rsid w:val="001A2373"/>
    <w:rsid w:val="001A63A8"/>
    <w:rsid w:val="001B7595"/>
    <w:rsid w:val="001E76A6"/>
    <w:rsid w:val="001F7AD5"/>
    <w:rsid w:val="002404BB"/>
    <w:rsid w:val="0024316A"/>
    <w:rsid w:val="0024640B"/>
    <w:rsid w:val="00253DF3"/>
    <w:rsid w:val="00256B35"/>
    <w:rsid w:val="00257B5A"/>
    <w:rsid w:val="002854A8"/>
    <w:rsid w:val="002E0819"/>
    <w:rsid w:val="00313129"/>
    <w:rsid w:val="0031387F"/>
    <w:rsid w:val="0032413B"/>
    <w:rsid w:val="00350722"/>
    <w:rsid w:val="00355F53"/>
    <w:rsid w:val="003979CD"/>
    <w:rsid w:val="003C585A"/>
    <w:rsid w:val="00424041"/>
    <w:rsid w:val="0047524C"/>
    <w:rsid w:val="0048568D"/>
    <w:rsid w:val="004B1D49"/>
    <w:rsid w:val="004E26E9"/>
    <w:rsid w:val="00532E05"/>
    <w:rsid w:val="00551385"/>
    <w:rsid w:val="005536E0"/>
    <w:rsid w:val="00555CC7"/>
    <w:rsid w:val="005615FE"/>
    <w:rsid w:val="005634DC"/>
    <w:rsid w:val="005635D2"/>
    <w:rsid w:val="00564481"/>
    <w:rsid w:val="0056762C"/>
    <w:rsid w:val="005737E2"/>
    <w:rsid w:val="00577657"/>
    <w:rsid w:val="0059027C"/>
    <w:rsid w:val="005A5BD3"/>
    <w:rsid w:val="005B6968"/>
    <w:rsid w:val="0061311C"/>
    <w:rsid w:val="00615050"/>
    <w:rsid w:val="00622629"/>
    <w:rsid w:val="00624FD5"/>
    <w:rsid w:val="00626889"/>
    <w:rsid w:val="006548E0"/>
    <w:rsid w:val="006914A9"/>
    <w:rsid w:val="00691D94"/>
    <w:rsid w:val="006A21E2"/>
    <w:rsid w:val="006C6415"/>
    <w:rsid w:val="006F09C0"/>
    <w:rsid w:val="007060AB"/>
    <w:rsid w:val="00707A63"/>
    <w:rsid w:val="007316FA"/>
    <w:rsid w:val="00736F1A"/>
    <w:rsid w:val="00755AE3"/>
    <w:rsid w:val="00774964"/>
    <w:rsid w:val="00797D42"/>
    <w:rsid w:val="007A18CB"/>
    <w:rsid w:val="007F42FC"/>
    <w:rsid w:val="00837755"/>
    <w:rsid w:val="00847BD2"/>
    <w:rsid w:val="0086063C"/>
    <w:rsid w:val="008B332C"/>
    <w:rsid w:val="008D082D"/>
    <w:rsid w:val="008D4070"/>
    <w:rsid w:val="008F6C62"/>
    <w:rsid w:val="00910E1B"/>
    <w:rsid w:val="009256D0"/>
    <w:rsid w:val="00957364"/>
    <w:rsid w:val="00984D63"/>
    <w:rsid w:val="00986B05"/>
    <w:rsid w:val="009A22EF"/>
    <w:rsid w:val="009A71C8"/>
    <w:rsid w:val="009B39F0"/>
    <w:rsid w:val="00A34CBF"/>
    <w:rsid w:val="00A90004"/>
    <w:rsid w:val="00AC02D4"/>
    <w:rsid w:val="00AE1C34"/>
    <w:rsid w:val="00B07530"/>
    <w:rsid w:val="00B10D99"/>
    <w:rsid w:val="00B52BA3"/>
    <w:rsid w:val="00B60E4A"/>
    <w:rsid w:val="00B61BDD"/>
    <w:rsid w:val="00B72F71"/>
    <w:rsid w:val="00B860B8"/>
    <w:rsid w:val="00B91A9C"/>
    <w:rsid w:val="00B9778D"/>
    <w:rsid w:val="00BD6FAC"/>
    <w:rsid w:val="00BF7C7C"/>
    <w:rsid w:val="00C0270B"/>
    <w:rsid w:val="00C11B79"/>
    <w:rsid w:val="00C379C1"/>
    <w:rsid w:val="00C5555B"/>
    <w:rsid w:val="00C63910"/>
    <w:rsid w:val="00C70C4C"/>
    <w:rsid w:val="00C72125"/>
    <w:rsid w:val="00CB5EC4"/>
    <w:rsid w:val="00CE4E34"/>
    <w:rsid w:val="00D11383"/>
    <w:rsid w:val="00D1293F"/>
    <w:rsid w:val="00D54115"/>
    <w:rsid w:val="00D6390E"/>
    <w:rsid w:val="00D7764F"/>
    <w:rsid w:val="00D8705E"/>
    <w:rsid w:val="00D970A4"/>
    <w:rsid w:val="00DA3D6B"/>
    <w:rsid w:val="00DB7CAD"/>
    <w:rsid w:val="00DC4F1D"/>
    <w:rsid w:val="00DD17A3"/>
    <w:rsid w:val="00DF0994"/>
    <w:rsid w:val="00E25D1F"/>
    <w:rsid w:val="00E51A72"/>
    <w:rsid w:val="00E55A52"/>
    <w:rsid w:val="00E67010"/>
    <w:rsid w:val="00E70C1D"/>
    <w:rsid w:val="00E808F7"/>
    <w:rsid w:val="00E9739A"/>
    <w:rsid w:val="00EA464B"/>
    <w:rsid w:val="00EB6DC6"/>
    <w:rsid w:val="00EB6FE9"/>
    <w:rsid w:val="00EE17D9"/>
    <w:rsid w:val="00F16AFD"/>
    <w:rsid w:val="00F40B9E"/>
    <w:rsid w:val="00F52464"/>
    <w:rsid w:val="00F65E5E"/>
    <w:rsid w:val="00F66C50"/>
    <w:rsid w:val="00F712AB"/>
    <w:rsid w:val="00F81496"/>
    <w:rsid w:val="00F84A5E"/>
    <w:rsid w:val="00FA1526"/>
    <w:rsid w:val="00FC0B8D"/>
    <w:rsid w:val="00FC2DDC"/>
    <w:rsid w:val="00FC5930"/>
    <w:rsid w:val="00FC5B21"/>
    <w:rsid w:val="00FF7A5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BDD"/>
    <w:pPr>
      <w:widowControl w:val="0"/>
      <w:overflowPunct w:val="0"/>
      <w:autoSpaceDE w:val="0"/>
      <w:autoSpaceDN w:val="0"/>
      <w:adjustRightInd w:val="0"/>
      <w:textAlignment w:val="baseline"/>
    </w:pPr>
    <w:rPr>
      <w:rFonts w:ascii="Times New Roman" w:eastAsia="Times New Roman" w:hAnsi="Times New Roman" w:cs="Courier New"/>
      <w:sz w:val="24"/>
      <w:szCs w:val="24"/>
    </w:rPr>
  </w:style>
  <w:style w:type="paragraph" w:styleId="Heading1">
    <w:name w:val="heading 1"/>
    <w:basedOn w:val="Normal"/>
    <w:next w:val="Normal"/>
    <w:link w:val="Heading1Char"/>
    <w:qFormat/>
    <w:rsid w:val="00986B05"/>
    <w:pPr>
      <w:keepNext/>
      <w:widowControl/>
      <w:numPr>
        <w:numId w:val="4"/>
      </w:numPr>
      <w:overflowPunct/>
      <w:autoSpaceDE/>
      <w:autoSpaceDN/>
      <w:adjustRightInd/>
      <w:spacing w:line="360" w:lineRule="auto"/>
      <w:jc w:val="both"/>
      <w:textAlignment w:val="auto"/>
      <w:outlineLvl w:val="0"/>
    </w:pPr>
    <w:rPr>
      <w:rFonts w:cs="Times New Roman"/>
      <w:b/>
      <w:szCs w:val="20"/>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1BDD"/>
    <w:pPr>
      <w:spacing w:after="240"/>
      <w:ind w:firstLine="720"/>
    </w:pPr>
    <w:rPr>
      <w:rFonts w:cs="Times New Roman"/>
      <w:lang/>
    </w:rPr>
  </w:style>
  <w:style w:type="character" w:customStyle="1" w:styleId="BodyTextChar">
    <w:name w:val="Body Text Char"/>
    <w:link w:val="BodyText"/>
    <w:rsid w:val="00B61BDD"/>
    <w:rPr>
      <w:rFonts w:ascii="Times New Roman" w:eastAsia="Times New Roman" w:hAnsi="Times New Roman" w:cs="Courier New"/>
      <w:sz w:val="24"/>
      <w:szCs w:val="24"/>
    </w:rPr>
  </w:style>
  <w:style w:type="paragraph" w:styleId="Footer">
    <w:name w:val="footer"/>
    <w:aliases w:val="ft"/>
    <w:basedOn w:val="Normal"/>
    <w:link w:val="FooterChar"/>
    <w:rsid w:val="00B61BDD"/>
    <w:pPr>
      <w:tabs>
        <w:tab w:val="center" w:pos="4680"/>
        <w:tab w:val="right" w:pos="9360"/>
      </w:tabs>
    </w:pPr>
    <w:rPr>
      <w:rFonts w:cs="Times New Roman"/>
      <w:lang/>
    </w:rPr>
  </w:style>
  <w:style w:type="character" w:customStyle="1" w:styleId="FooterChar">
    <w:name w:val="Footer Char"/>
    <w:aliases w:val="ft Char"/>
    <w:link w:val="Footer"/>
    <w:rsid w:val="00B61BDD"/>
    <w:rPr>
      <w:rFonts w:ascii="Times New Roman" w:eastAsia="Times New Roman" w:hAnsi="Times New Roman" w:cs="Courier New"/>
      <w:sz w:val="24"/>
      <w:szCs w:val="24"/>
    </w:rPr>
  </w:style>
  <w:style w:type="character" w:styleId="PageNumber">
    <w:name w:val="page number"/>
    <w:basedOn w:val="DefaultParagraphFont"/>
    <w:rsid w:val="00B61BDD"/>
  </w:style>
  <w:style w:type="paragraph" w:styleId="BodyTextIndent3">
    <w:name w:val="Body Text Indent 3"/>
    <w:basedOn w:val="Normal"/>
    <w:link w:val="BodyTextIndent3Char"/>
    <w:rsid w:val="00B61BDD"/>
    <w:pPr>
      <w:ind w:left="720" w:hanging="720"/>
    </w:pPr>
    <w:rPr>
      <w:rFonts w:cs="Times New Roman"/>
      <w:lang/>
    </w:rPr>
  </w:style>
  <w:style w:type="character" w:customStyle="1" w:styleId="BodyTextIndent3Char">
    <w:name w:val="Body Text Indent 3 Char"/>
    <w:link w:val="BodyTextIndent3"/>
    <w:rsid w:val="00B61BDD"/>
    <w:rPr>
      <w:rFonts w:ascii="Times New Roman" w:eastAsia="Times New Roman" w:hAnsi="Times New Roman" w:cs="Courier New"/>
      <w:sz w:val="24"/>
      <w:szCs w:val="24"/>
    </w:rPr>
  </w:style>
  <w:style w:type="paragraph" w:styleId="BodyTextIndent">
    <w:name w:val="Body Text Indent"/>
    <w:basedOn w:val="Normal"/>
    <w:link w:val="BodyTextIndentChar"/>
    <w:rsid w:val="00B61BDD"/>
    <w:pPr>
      <w:spacing w:after="120"/>
      <w:ind w:left="360"/>
    </w:pPr>
    <w:rPr>
      <w:rFonts w:cs="Times New Roman"/>
      <w:lang/>
    </w:rPr>
  </w:style>
  <w:style w:type="character" w:customStyle="1" w:styleId="BodyTextIndentChar">
    <w:name w:val="Body Text Indent Char"/>
    <w:link w:val="BodyTextIndent"/>
    <w:rsid w:val="00B61BDD"/>
    <w:rPr>
      <w:rFonts w:ascii="Times New Roman" w:eastAsia="Times New Roman" w:hAnsi="Times New Roman" w:cs="Courier New"/>
      <w:sz w:val="24"/>
      <w:szCs w:val="24"/>
    </w:rPr>
  </w:style>
  <w:style w:type="paragraph" w:customStyle="1" w:styleId="OutlineL1">
    <w:name w:val="Outline_L1"/>
    <w:basedOn w:val="Normal"/>
    <w:next w:val="BodyText"/>
    <w:rsid w:val="00B61BDD"/>
    <w:pPr>
      <w:widowControl/>
      <w:numPr>
        <w:numId w:val="1"/>
      </w:numPr>
      <w:overflowPunct/>
      <w:autoSpaceDE/>
      <w:autoSpaceDN/>
      <w:adjustRightInd/>
      <w:spacing w:after="240"/>
      <w:textAlignment w:val="auto"/>
      <w:outlineLvl w:val="0"/>
    </w:pPr>
  </w:style>
  <w:style w:type="paragraph" w:customStyle="1" w:styleId="OutlineL2">
    <w:name w:val="Outline_L2"/>
    <w:basedOn w:val="OutlineL1"/>
    <w:next w:val="BodyText"/>
    <w:rsid w:val="00B61BDD"/>
    <w:pPr>
      <w:numPr>
        <w:ilvl w:val="1"/>
      </w:numPr>
      <w:outlineLvl w:val="1"/>
    </w:pPr>
    <w:rPr>
      <w:rFonts w:ascii="Courier New" w:hAnsi="Courier New"/>
    </w:rPr>
  </w:style>
  <w:style w:type="paragraph" w:customStyle="1" w:styleId="OutlineL3">
    <w:name w:val="Outline_L3"/>
    <w:basedOn w:val="OutlineL2"/>
    <w:next w:val="BodyText"/>
    <w:rsid w:val="00B61BDD"/>
    <w:pPr>
      <w:numPr>
        <w:ilvl w:val="2"/>
      </w:numPr>
      <w:outlineLvl w:val="2"/>
    </w:pPr>
  </w:style>
  <w:style w:type="paragraph" w:customStyle="1" w:styleId="OutlineL4">
    <w:name w:val="Outline_L4"/>
    <w:basedOn w:val="OutlineL3"/>
    <w:next w:val="BodyText"/>
    <w:rsid w:val="00B61BDD"/>
    <w:pPr>
      <w:numPr>
        <w:ilvl w:val="3"/>
      </w:numPr>
      <w:outlineLvl w:val="3"/>
    </w:pPr>
  </w:style>
  <w:style w:type="paragraph" w:customStyle="1" w:styleId="OutlineL5">
    <w:name w:val="Outline_L5"/>
    <w:basedOn w:val="OutlineL4"/>
    <w:next w:val="BodyText"/>
    <w:rsid w:val="00B61BDD"/>
    <w:pPr>
      <w:numPr>
        <w:ilvl w:val="4"/>
      </w:numPr>
      <w:outlineLvl w:val="4"/>
    </w:pPr>
  </w:style>
  <w:style w:type="paragraph" w:customStyle="1" w:styleId="OutlineL6">
    <w:name w:val="Outline_L6"/>
    <w:basedOn w:val="OutlineL5"/>
    <w:next w:val="BodyText"/>
    <w:rsid w:val="00B61BDD"/>
    <w:pPr>
      <w:numPr>
        <w:ilvl w:val="5"/>
      </w:numPr>
      <w:outlineLvl w:val="5"/>
    </w:pPr>
  </w:style>
  <w:style w:type="paragraph" w:customStyle="1" w:styleId="OutlineL7">
    <w:name w:val="Outline_L7"/>
    <w:basedOn w:val="OutlineL6"/>
    <w:next w:val="BodyText"/>
    <w:rsid w:val="00B61BDD"/>
    <w:pPr>
      <w:numPr>
        <w:ilvl w:val="6"/>
      </w:numPr>
      <w:outlineLvl w:val="6"/>
    </w:pPr>
  </w:style>
  <w:style w:type="paragraph" w:customStyle="1" w:styleId="OutlineL8">
    <w:name w:val="Outline_L8"/>
    <w:basedOn w:val="OutlineL7"/>
    <w:next w:val="BodyText"/>
    <w:rsid w:val="00B61BDD"/>
    <w:pPr>
      <w:numPr>
        <w:ilvl w:val="7"/>
      </w:numPr>
      <w:outlineLvl w:val="7"/>
    </w:pPr>
  </w:style>
  <w:style w:type="paragraph" w:customStyle="1" w:styleId="OutlineL9">
    <w:name w:val="Outline_L9"/>
    <w:basedOn w:val="OutlineL8"/>
    <w:next w:val="BodyText"/>
    <w:rsid w:val="00B61BDD"/>
    <w:pPr>
      <w:numPr>
        <w:ilvl w:val="8"/>
      </w:numPr>
      <w:outlineLvl w:val="8"/>
    </w:pPr>
  </w:style>
  <w:style w:type="table" w:styleId="TableGrid">
    <w:name w:val="Table Grid"/>
    <w:basedOn w:val="TableNormal"/>
    <w:rsid w:val="00B61BD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4B4F"/>
    <w:pPr>
      <w:tabs>
        <w:tab w:val="center" w:pos="4680"/>
        <w:tab w:val="right" w:pos="9360"/>
      </w:tabs>
    </w:pPr>
    <w:rPr>
      <w:rFonts w:cs="Times New Roman"/>
      <w:lang/>
    </w:rPr>
  </w:style>
  <w:style w:type="character" w:customStyle="1" w:styleId="HeaderChar">
    <w:name w:val="Header Char"/>
    <w:link w:val="Header"/>
    <w:uiPriority w:val="99"/>
    <w:rsid w:val="000C4B4F"/>
    <w:rPr>
      <w:rFonts w:ascii="Times New Roman" w:eastAsia="Times New Roman" w:hAnsi="Times New Roman" w:cs="Courier New"/>
      <w:sz w:val="24"/>
      <w:szCs w:val="24"/>
    </w:rPr>
  </w:style>
  <w:style w:type="paragraph" w:styleId="BalloonText">
    <w:name w:val="Balloon Text"/>
    <w:basedOn w:val="Normal"/>
    <w:link w:val="BalloonTextChar"/>
    <w:uiPriority w:val="99"/>
    <w:semiHidden/>
    <w:unhideWhenUsed/>
    <w:rsid w:val="007316FA"/>
    <w:rPr>
      <w:rFonts w:ascii="Tahoma" w:hAnsi="Tahoma" w:cs="Times New Roman"/>
      <w:sz w:val="16"/>
      <w:szCs w:val="16"/>
      <w:lang/>
    </w:rPr>
  </w:style>
  <w:style w:type="character" w:customStyle="1" w:styleId="BalloonTextChar">
    <w:name w:val="Balloon Text Char"/>
    <w:link w:val="BalloonText"/>
    <w:uiPriority w:val="99"/>
    <w:semiHidden/>
    <w:rsid w:val="007316FA"/>
    <w:rPr>
      <w:rFonts w:ascii="Tahoma" w:eastAsia="Times New Roman" w:hAnsi="Tahoma" w:cs="Tahoma"/>
      <w:sz w:val="16"/>
      <w:szCs w:val="16"/>
    </w:rPr>
  </w:style>
  <w:style w:type="character" w:styleId="CommentReference">
    <w:name w:val="annotation reference"/>
    <w:uiPriority w:val="99"/>
    <w:semiHidden/>
    <w:unhideWhenUsed/>
    <w:rsid w:val="00253DF3"/>
    <w:rPr>
      <w:sz w:val="16"/>
      <w:szCs w:val="16"/>
    </w:rPr>
  </w:style>
  <w:style w:type="paragraph" w:styleId="CommentText">
    <w:name w:val="annotation text"/>
    <w:basedOn w:val="Normal"/>
    <w:link w:val="CommentTextChar"/>
    <w:uiPriority w:val="99"/>
    <w:semiHidden/>
    <w:unhideWhenUsed/>
    <w:rsid w:val="00253DF3"/>
    <w:rPr>
      <w:rFonts w:cs="Times New Roman"/>
      <w:sz w:val="20"/>
      <w:szCs w:val="20"/>
      <w:lang/>
    </w:rPr>
  </w:style>
  <w:style w:type="character" w:customStyle="1" w:styleId="CommentTextChar">
    <w:name w:val="Comment Text Char"/>
    <w:link w:val="CommentText"/>
    <w:uiPriority w:val="99"/>
    <w:semiHidden/>
    <w:rsid w:val="00253DF3"/>
    <w:rPr>
      <w:rFonts w:ascii="Times New Roman" w:eastAsia="Times New Roman" w:hAnsi="Times New Roman" w:cs="Courier New"/>
      <w:sz w:val="20"/>
      <w:szCs w:val="20"/>
    </w:rPr>
  </w:style>
  <w:style w:type="paragraph" w:styleId="CommentSubject">
    <w:name w:val="annotation subject"/>
    <w:basedOn w:val="CommentText"/>
    <w:next w:val="CommentText"/>
    <w:link w:val="CommentSubjectChar"/>
    <w:uiPriority w:val="99"/>
    <w:semiHidden/>
    <w:unhideWhenUsed/>
    <w:rsid w:val="00253DF3"/>
    <w:rPr>
      <w:b/>
      <w:bCs/>
    </w:rPr>
  </w:style>
  <w:style w:type="character" w:customStyle="1" w:styleId="CommentSubjectChar">
    <w:name w:val="Comment Subject Char"/>
    <w:link w:val="CommentSubject"/>
    <w:uiPriority w:val="99"/>
    <w:semiHidden/>
    <w:rsid w:val="00253DF3"/>
    <w:rPr>
      <w:rFonts w:ascii="Times New Roman" w:eastAsia="Times New Roman" w:hAnsi="Times New Roman" w:cs="Courier New"/>
      <w:b/>
      <w:bCs/>
      <w:sz w:val="20"/>
      <w:szCs w:val="20"/>
    </w:rPr>
  </w:style>
  <w:style w:type="character" w:customStyle="1" w:styleId="Heading1Char">
    <w:name w:val="Heading 1 Char"/>
    <w:link w:val="Heading1"/>
    <w:rsid w:val="00986B05"/>
    <w:rPr>
      <w:rFonts w:ascii="Times New Roman" w:eastAsia="Times New Roman" w:hAnsi="Times New Roman" w:cs="Times New Roman"/>
      <w:b/>
      <w:sz w:val="24"/>
      <w:szCs w:val="20"/>
    </w:rPr>
  </w:style>
  <w:style w:type="paragraph" w:styleId="NormalWeb">
    <w:name w:val="Normal (Web)"/>
    <w:basedOn w:val="Normal"/>
    <w:rsid w:val="00986B05"/>
    <w:pPr>
      <w:widowControl/>
      <w:overflowPunct/>
      <w:autoSpaceDE/>
      <w:autoSpaceDN/>
      <w:adjustRightInd/>
      <w:spacing w:before="100" w:beforeAutospacing="1" w:after="100" w:afterAutospacing="1"/>
      <w:textAlignment w:val="auto"/>
    </w:pPr>
    <w:rPr>
      <w:rFonts w:cs="Times New Roman"/>
    </w:rPr>
  </w:style>
  <w:style w:type="paragraph" w:styleId="Subtitle">
    <w:name w:val="Subtitle"/>
    <w:basedOn w:val="Normal"/>
    <w:next w:val="Normal"/>
    <w:link w:val="SubtitleChar"/>
    <w:uiPriority w:val="99"/>
    <w:qFormat/>
    <w:rsid w:val="00F16AFD"/>
    <w:pPr>
      <w:overflowPunct/>
      <w:autoSpaceDE/>
      <w:autoSpaceDN/>
      <w:adjustRightInd/>
      <w:spacing w:after="60"/>
      <w:textAlignment w:val="auto"/>
      <w:outlineLvl w:val="1"/>
    </w:pPr>
    <w:rPr>
      <w:rFonts w:cs="Times New Roman"/>
      <w:b/>
      <w:u w:val="single"/>
      <w:lang/>
    </w:rPr>
  </w:style>
  <w:style w:type="character" w:customStyle="1" w:styleId="SubtitleChar">
    <w:name w:val="Subtitle Char"/>
    <w:link w:val="Subtitle"/>
    <w:uiPriority w:val="99"/>
    <w:rsid w:val="00F16AFD"/>
    <w:rPr>
      <w:rFonts w:ascii="Times New Roman" w:eastAsia="Times New Roman" w:hAnsi="Times New Roman" w:cs="Times New Roman"/>
      <w:b/>
      <w:sz w:val="24"/>
      <w:szCs w:val="24"/>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832D9-7D00-4D60-B1CF-346881721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3037</Words>
  <Characters>17314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jeffreys;McKinley Morganfield;Sally Simpson</dc:creator>
  <cp:lastModifiedBy>jeffreys</cp:lastModifiedBy>
  <cp:revision>2</cp:revision>
  <cp:lastPrinted>2012-06-14T12:41:00Z</cp:lastPrinted>
  <dcterms:created xsi:type="dcterms:W3CDTF">2015-12-09T17:35:00Z</dcterms:created>
  <dcterms:modified xsi:type="dcterms:W3CDTF">2015-12-09T17:35:00Z</dcterms:modified>
</cp:coreProperties>
</file>